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5.xml" ContentType="application/vnd.openxmlformats-officedocument.themeOverride+xml"/>
  <Override PartName="/word/drawings/drawing1.xml" ContentType="application/vnd.openxmlformats-officedocument.drawingml.chartshapes+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33.xml" ContentType="application/vnd.openxmlformats-officedocument.drawingml.chart+xml"/>
  <Override PartName="/word/theme/themeOverride30.xml" ContentType="application/vnd.openxmlformats-officedocument.themeOverride+xml"/>
  <Override PartName="/word/charts/chart3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35.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1.xml" ContentType="application/vnd.openxmlformats-officedocument.themeOverride+xml"/>
  <Override PartName="/word/charts/chart36.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2.xml" ContentType="application/vnd.openxmlformats-officedocument.themeOverride+xml"/>
  <Override PartName="/word/charts/chart37.xml" ContentType="application/vnd.openxmlformats-officedocument.drawingml.chart+xml"/>
  <Override PartName="/word/theme/themeOverride33.xml" ContentType="application/vnd.openxmlformats-officedocument.themeOverride+xml"/>
  <Override PartName="/word/charts/chart38.xml" ContentType="application/vnd.openxmlformats-officedocument.drawingml.chart+xml"/>
  <Override PartName="/word/theme/themeOverride34.xml" ContentType="application/vnd.openxmlformats-officedocument.themeOverride+xml"/>
  <Override PartName="/word/charts/chart3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5.xml" ContentType="application/vnd.openxmlformats-officedocument.themeOverride+xml"/>
  <Override PartName="/word/charts/chart4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6.xml" ContentType="application/vnd.openxmlformats-officedocument.themeOverride+xml"/>
  <Override PartName="/word/charts/chart4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37.xml" ContentType="application/vnd.openxmlformats-officedocument.themeOverride+xml"/>
  <Override PartName="/word/charts/chart4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38.xml" ContentType="application/vnd.openxmlformats-officedocument.themeOverride+xml"/>
  <Override PartName="/word/charts/chart4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9.xml" ContentType="application/vnd.openxmlformats-officedocument.themeOverride+xml"/>
  <Override PartName="/word/charts/chart4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40.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7C9421" w14:textId="34AE8F27" w:rsidR="00F86947" w:rsidRPr="00BD6799" w:rsidRDefault="00F05A99" w:rsidP="0087375C">
      <w:pPr>
        <w:pStyle w:val="Heading1"/>
        <w:numPr>
          <w:ilvl w:val="0"/>
          <w:numId w:val="8"/>
        </w:numPr>
        <w:spacing w:after="240" w:line="276" w:lineRule="auto"/>
        <w:ind w:left="0" w:firstLine="0"/>
        <w:rPr>
          <w:rFonts w:ascii="GHEA Grapalat" w:hAnsi="GHEA Grapalat"/>
          <w:i w:val="0"/>
          <w:sz w:val="26"/>
          <w:szCs w:val="26"/>
        </w:rPr>
      </w:pPr>
      <w:bookmarkStart w:id="0" w:name="_Toc100315618"/>
      <w:bookmarkStart w:id="1" w:name="_Toc132204231"/>
      <w:r w:rsidRPr="00BD6799">
        <w:rPr>
          <w:rFonts w:ascii="GHEA Grapalat" w:hAnsi="GHEA Grapalat"/>
          <w:i w:val="0"/>
          <w:sz w:val="26"/>
          <w:szCs w:val="26"/>
          <w:lang w:val="en-US"/>
        </w:rPr>
        <w:t>Մ</w:t>
      </w:r>
      <w:r w:rsidRPr="00BD6799">
        <w:rPr>
          <w:rFonts w:ascii="GHEA Grapalat" w:hAnsi="GHEA Grapalat"/>
          <w:i w:val="0"/>
          <w:sz w:val="26"/>
          <w:szCs w:val="26"/>
        </w:rPr>
        <w:t>ակրոտնտեսական զարգացումներ</w:t>
      </w:r>
      <w:bookmarkEnd w:id="0"/>
      <w:bookmarkEnd w:id="1"/>
    </w:p>
    <w:p w14:paraId="284B84D1" w14:textId="33F846E7" w:rsidR="00F86947" w:rsidRPr="00BD6799" w:rsidRDefault="00F86947" w:rsidP="0087375C">
      <w:pPr>
        <w:pStyle w:val="Heading2"/>
        <w:numPr>
          <w:ilvl w:val="2"/>
          <w:numId w:val="10"/>
        </w:numPr>
        <w:spacing w:before="0" w:line="276" w:lineRule="auto"/>
        <w:ind w:left="0" w:firstLine="0"/>
        <w:rPr>
          <w:sz w:val="24"/>
          <w:szCs w:val="24"/>
        </w:rPr>
      </w:pPr>
      <w:bookmarkStart w:id="2" w:name="_Toc100315619"/>
      <w:bookmarkStart w:id="3" w:name="_Toc132204232"/>
      <w:r w:rsidRPr="00BD6799">
        <w:rPr>
          <w:sz w:val="24"/>
          <w:szCs w:val="24"/>
        </w:rPr>
        <w:t>Արտաքին միջավայրի զարգացումներ</w:t>
      </w:r>
      <w:bookmarkEnd w:id="2"/>
      <w:bookmarkEnd w:id="3"/>
    </w:p>
    <w:p w14:paraId="6F4E5163" w14:textId="0D0A6CDC" w:rsidR="00F757FE" w:rsidRPr="00B442F0" w:rsidRDefault="00F04D21" w:rsidP="00A75437">
      <w:pPr>
        <w:spacing w:line="276" w:lineRule="auto"/>
        <w:ind w:firstLine="567"/>
        <w:jc w:val="both"/>
        <w:rPr>
          <w:rFonts w:ascii="GHEA Grapalat" w:hAnsi="GHEA Grapalat"/>
          <w:sz w:val="22"/>
          <w:szCs w:val="22"/>
        </w:rPr>
      </w:pPr>
      <w:bookmarkStart w:id="4" w:name="_Toc100315620"/>
      <w:bookmarkStart w:id="5" w:name="_Toc71532744"/>
      <w:bookmarkStart w:id="6" w:name="_Toc132204233"/>
      <w:r w:rsidRPr="00345A1C">
        <w:rPr>
          <w:rFonts w:ascii="GHEA Grapalat" w:eastAsia="GHEA Grapalat" w:hAnsi="GHEA Grapalat" w:cs="GHEA Grapalat"/>
          <w:b/>
          <w:i/>
          <w:sz w:val="22"/>
          <w:szCs w:val="22"/>
        </w:rPr>
        <w:t>Տնտեսական զարգացումներ</w:t>
      </w:r>
      <w:r w:rsidRPr="00345A1C">
        <w:rPr>
          <w:rFonts w:ascii="GHEA Grapalat" w:hAnsi="GHEA Grapalat"/>
          <w:b/>
          <w:i/>
          <w:sz w:val="22"/>
          <w:szCs w:val="22"/>
          <w:lang w:val="af-ZA"/>
        </w:rPr>
        <w:t>:</w:t>
      </w:r>
      <w:r w:rsidRPr="00345A1C">
        <w:rPr>
          <w:rFonts w:ascii="GHEA Grapalat" w:hAnsi="GHEA Grapalat"/>
          <w:sz w:val="22"/>
          <w:szCs w:val="22"/>
          <w:lang w:val="af-ZA"/>
        </w:rPr>
        <w:t xml:space="preserve"> </w:t>
      </w:r>
      <w:bookmarkStart w:id="7" w:name="_Toc102746160"/>
      <w:r w:rsidR="00A75437" w:rsidRPr="00B442F0">
        <w:rPr>
          <w:rFonts w:ascii="GHEA Grapalat" w:hAnsi="GHEA Grapalat"/>
          <w:sz w:val="22"/>
          <w:szCs w:val="22"/>
        </w:rPr>
        <w:t>2025</w:t>
      </w:r>
      <w:r w:rsidR="00A75437">
        <w:rPr>
          <w:rFonts w:ascii="GHEA Grapalat" w:hAnsi="GHEA Grapalat"/>
          <w:sz w:val="22"/>
          <w:szCs w:val="22"/>
        </w:rPr>
        <w:t xml:space="preserve">թ. առևտրային լարվածության և քաղաքական անորոշությունների պայմաններում համաշխարհային տնտեսությունում և գործընկեր երկրներում հիմնականում դիտվել են տնտեսական աճի ավելի թույլ տեմպեր, գնաճի աստիճանական թուլացում և </w:t>
      </w:r>
      <w:r w:rsidR="00A75437" w:rsidRPr="00B442F0">
        <w:rPr>
          <w:rFonts w:ascii="GHEA Grapalat" w:hAnsi="GHEA Grapalat"/>
          <w:sz w:val="22"/>
          <w:szCs w:val="22"/>
          <w:lang w:val="de-AT"/>
        </w:rPr>
        <w:t>խոշոր տնտեսություններում շարունակվող հարկաբյուջետային և դրամավարկային քաղաքականությունների</w:t>
      </w:r>
      <w:r w:rsidR="00A75437">
        <w:rPr>
          <w:rFonts w:ascii="GHEA Grapalat" w:hAnsi="GHEA Grapalat"/>
          <w:sz w:val="22"/>
          <w:szCs w:val="22"/>
          <w:lang w:val="de-AT"/>
        </w:rPr>
        <w:t xml:space="preserve"> ճշգրտումնե</w:t>
      </w:r>
      <w:r w:rsidR="00A75437">
        <w:rPr>
          <w:rFonts w:ascii="GHEA Grapalat" w:hAnsi="GHEA Grapalat"/>
          <w:sz w:val="22"/>
          <w:szCs w:val="22"/>
        </w:rPr>
        <w:t>ր: 2025թ. համաշխարհային տնտեսական աճը պահպանվել է նախորդ տարվա նույն մակարդակում՝ կազմելով 3.3</w:t>
      </w:r>
      <w:r w:rsidR="00A75437" w:rsidRPr="00B442F0">
        <w:rPr>
          <w:rFonts w:ascii="GHEA Grapalat" w:hAnsi="GHEA Grapalat"/>
          <w:sz w:val="22"/>
          <w:szCs w:val="22"/>
        </w:rPr>
        <w:t>%:</w:t>
      </w:r>
    </w:p>
    <w:p w14:paraId="2A952BCB" w14:textId="63FEF149" w:rsidR="00F757FE" w:rsidRPr="00345A1C" w:rsidRDefault="00F757FE" w:rsidP="00F757FE">
      <w:pPr>
        <w:spacing w:line="276" w:lineRule="auto"/>
        <w:ind w:firstLine="567"/>
        <w:jc w:val="both"/>
        <w:rPr>
          <w:rFonts w:ascii="GHEA Grapalat" w:hAnsi="GHEA Grapalat"/>
          <w:sz w:val="22"/>
          <w:szCs w:val="22"/>
        </w:rPr>
      </w:pPr>
      <w:r>
        <w:rPr>
          <w:rFonts w:ascii="GHEA Grapalat" w:hAnsi="GHEA Grapalat"/>
          <w:sz w:val="22"/>
          <w:szCs w:val="22"/>
          <w:lang w:val="af-ZA"/>
        </w:rPr>
        <w:t>2025</w:t>
      </w:r>
      <w:r w:rsidRPr="00345A1C">
        <w:rPr>
          <w:rFonts w:ascii="GHEA Grapalat" w:hAnsi="GHEA Grapalat"/>
          <w:sz w:val="22"/>
          <w:szCs w:val="22"/>
        </w:rPr>
        <w:t>թ</w:t>
      </w:r>
      <w:r>
        <w:rPr>
          <w:rFonts w:ascii="GHEA Grapalat" w:hAnsi="GHEA Grapalat"/>
          <w:sz w:val="22"/>
          <w:szCs w:val="22"/>
        </w:rPr>
        <w:t>.</w:t>
      </w:r>
      <w:r w:rsidRPr="00345A1C">
        <w:rPr>
          <w:rFonts w:ascii="GHEA Grapalat" w:hAnsi="GHEA Grapalat"/>
          <w:sz w:val="22"/>
          <w:szCs w:val="22"/>
          <w:lang w:val="af-ZA"/>
        </w:rPr>
        <w:t xml:space="preserve"> </w:t>
      </w:r>
      <w:r w:rsidRPr="00345A1C">
        <w:rPr>
          <w:rFonts w:ascii="GHEA Grapalat" w:hAnsi="GHEA Grapalat"/>
          <w:sz w:val="22"/>
          <w:szCs w:val="22"/>
        </w:rPr>
        <w:t>ԱՄՆ</w:t>
      </w:r>
      <w:r w:rsidRPr="00345A1C">
        <w:rPr>
          <w:rFonts w:ascii="GHEA Grapalat" w:hAnsi="GHEA Grapalat"/>
          <w:sz w:val="22"/>
          <w:szCs w:val="22"/>
          <w:lang w:val="af-ZA"/>
        </w:rPr>
        <w:t xml:space="preserve"> </w:t>
      </w:r>
      <w:r w:rsidRPr="00345A1C">
        <w:rPr>
          <w:rFonts w:ascii="GHEA Grapalat" w:hAnsi="GHEA Grapalat"/>
          <w:sz w:val="22"/>
          <w:szCs w:val="22"/>
        </w:rPr>
        <w:t>տնտեսությունը</w:t>
      </w:r>
      <w:r w:rsidRPr="00345A1C">
        <w:rPr>
          <w:rFonts w:ascii="GHEA Grapalat" w:hAnsi="GHEA Grapalat"/>
          <w:sz w:val="22"/>
          <w:szCs w:val="22"/>
          <w:lang w:val="af-ZA"/>
        </w:rPr>
        <w:t xml:space="preserve"> </w:t>
      </w:r>
      <w:r w:rsidRPr="00345A1C">
        <w:rPr>
          <w:rFonts w:ascii="GHEA Grapalat" w:hAnsi="GHEA Grapalat"/>
          <w:sz w:val="22"/>
          <w:szCs w:val="22"/>
        </w:rPr>
        <w:t>գրանցել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2.</w:t>
      </w:r>
      <w:r>
        <w:rPr>
          <w:rFonts w:ascii="GHEA Grapalat" w:hAnsi="GHEA Grapalat"/>
          <w:sz w:val="22"/>
          <w:szCs w:val="22"/>
          <w:lang w:val="af-ZA"/>
        </w:rPr>
        <w:t>1</w:t>
      </w:r>
      <w:r w:rsidRPr="00345A1C">
        <w:rPr>
          <w:rFonts w:ascii="GHEA Grapalat" w:hAnsi="GHEA Grapalat"/>
          <w:sz w:val="22"/>
          <w:szCs w:val="22"/>
          <w:lang w:val="af-ZA"/>
        </w:rPr>
        <w:t xml:space="preserve">% </w:t>
      </w:r>
      <w:r w:rsidRPr="00345A1C">
        <w:rPr>
          <w:rFonts w:ascii="GHEA Grapalat" w:hAnsi="GHEA Grapalat"/>
          <w:sz w:val="22"/>
          <w:szCs w:val="22"/>
        </w:rPr>
        <w:t>աճ</w:t>
      </w:r>
      <w:r w:rsidRPr="00345A1C">
        <w:rPr>
          <w:rFonts w:ascii="GHEA Grapalat" w:hAnsi="GHEA Grapalat"/>
          <w:sz w:val="22"/>
          <w:szCs w:val="22"/>
          <w:vertAlign w:val="superscript"/>
        </w:rPr>
        <w:footnoteReference w:id="1"/>
      </w:r>
      <w:r w:rsidRPr="00345A1C">
        <w:rPr>
          <w:rFonts w:ascii="GHEA Grapalat" w:hAnsi="GHEA Grapalat"/>
          <w:sz w:val="22"/>
          <w:szCs w:val="22"/>
          <w:lang w:val="af-ZA"/>
        </w:rPr>
        <w:t xml:space="preserve"> </w:t>
      </w:r>
      <w:r w:rsidRPr="00345A1C">
        <w:rPr>
          <w:rFonts w:ascii="GHEA Grapalat" w:hAnsi="GHEA Grapalat"/>
          <w:sz w:val="22"/>
          <w:szCs w:val="22"/>
        </w:rPr>
        <w:t>նախորդ</w:t>
      </w:r>
      <w:r w:rsidRPr="00345A1C">
        <w:rPr>
          <w:rFonts w:ascii="GHEA Grapalat" w:hAnsi="GHEA Grapalat"/>
          <w:sz w:val="22"/>
          <w:szCs w:val="22"/>
          <w:lang w:val="af-ZA"/>
        </w:rPr>
        <w:t xml:space="preserve"> </w:t>
      </w:r>
      <w:r w:rsidRPr="00345A1C">
        <w:rPr>
          <w:rFonts w:ascii="GHEA Grapalat" w:hAnsi="GHEA Grapalat"/>
          <w:sz w:val="22"/>
          <w:szCs w:val="22"/>
        </w:rPr>
        <w:t>տարվա</w:t>
      </w:r>
      <w:r>
        <w:rPr>
          <w:rFonts w:ascii="GHEA Grapalat" w:hAnsi="GHEA Grapalat"/>
          <w:sz w:val="22"/>
          <w:szCs w:val="22"/>
          <w:lang w:val="af-ZA"/>
        </w:rPr>
        <w:t xml:space="preserve"> 2.8</w:t>
      </w:r>
      <w:r w:rsidRPr="00345A1C">
        <w:rPr>
          <w:rFonts w:ascii="GHEA Grapalat" w:hAnsi="GHEA Grapalat"/>
          <w:sz w:val="22"/>
          <w:szCs w:val="22"/>
          <w:lang w:val="af-ZA"/>
        </w:rPr>
        <w:t xml:space="preserve">% </w:t>
      </w:r>
      <w:r w:rsidRPr="00345A1C">
        <w:rPr>
          <w:rFonts w:ascii="GHEA Grapalat" w:hAnsi="GHEA Grapalat"/>
          <w:sz w:val="22"/>
          <w:szCs w:val="22"/>
        </w:rPr>
        <w:t>աճի</w:t>
      </w:r>
      <w:r w:rsidRPr="00345A1C">
        <w:rPr>
          <w:rFonts w:ascii="GHEA Grapalat" w:hAnsi="GHEA Grapalat"/>
          <w:sz w:val="22"/>
          <w:szCs w:val="22"/>
          <w:lang w:val="af-ZA"/>
        </w:rPr>
        <w:t xml:space="preserve"> </w:t>
      </w:r>
      <w:r w:rsidRPr="00345A1C">
        <w:rPr>
          <w:rFonts w:ascii="GHEA Grapalat" w:hAnsi="GHEA Grapalat"/>
          <w:sz w:val="22"/>
          <w:szCs w:val="22"/>
        </w:rPr>
        <w:t>դիմաց</w:t>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w:t>
      </w:r>
      <w:r w:rsidRPr="00345A1C">
        <w:rPr>
          <w:rFonts w:ascii="GHEA Grapalat" w:hAnsi="GHEA Grapalat"/>
          <w:sz w:val="22"/>
          <w:szCs w:val="22"/>
        </w:rPr>
        <w:t>2</w:t>
      </w:r>
      <w:r w:rsidRPr="00345A1C">
        <w:rPr>
          <w:rFonts w:ascii="GHEA Grapalat" w:hAnsi="GHEA Grapalat"/>
          <w:sz w:val="22"/>
          <w:szCs w:val="22"/>
          <w:lang w:val="af-ZA"/>
        </w:rPr>
        <w:t xml:space="preserve">%, </w:t>
      </w:r>
      <w:r w:rsidRPr="00345A1C">
        <w:rPr>
          <w:rFonts w:ascii="GHEA Grapalat" w:hAnsi="GHEA Grapalat"/>
          <w:sz w:val="22"/>
          <w:szCs w:val="22"/>
        </w:rPr>
        <w:t>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Pr>
          <w:rFonts w:ascii="GHEA Grapalat" w:hAnsi="GHEA Grapalat"/>
          <w:sz w:val="22"/>
          <w:szCs w:val="22"/>
          <w:lang w:val="af-ZA"/>
        </w:rPr>
        <w:t>2.1</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2.</w:t>
      </w:r>
      <w:r>
        <w:rPr>
          <w:rFonts w:ascii="GHEA Grapalat" w:hAnsi="GHEA Grapalat"/>
          <w:sz w:val="22"/>
          <w:szCs w:val="22"/>
          <w:lang w:val="af-ZA"/>
        </w:rPr>
        <w:t>3</w:t>
      </w:r>
      <w:r w:rsidRPr="00345A1C">
        <w:rPr>
          <w:rFonts w:ascii="GHEA Grapalat" w:hAnsi="GHEA Grapalat"/>
          <w:sz w:val="22"/>
          <w:szCs w:val="22"/>
          <w:lang w:val="af-ZA"/>
        </w:rPr>
        <w:t xml:space="preserve">% և </w:t>
      </w:r>
      <w:r w:rsidRPr="00345A1C">
        <w:rPr>
          <w:rFonts w:ascii="GHEA Grapalat" w:hAnsi="GHEA Grapalat"/>
          <w:sz w:val="22"/>
          <w:szCs w:val="22"/>
        </w:rPr>
        <w:t>չորրորդ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Pr>
          <w:rFonts w:ascii="GHEA Grapalat" w:hAnsi="GHEA Grapalat"/>
          <w:sz w:val="22"/>
          <w:szCs w:val="22"/>
          <w:lang w:val="af-ZA"/>
        </w:rPr>
        <w:t>` 2</w:t>
      </w:r>
      <w:r w:rsidRPr="00345A1C">
        <w:rPr>
          <w:rFonts w:ascii="GHEA Grapalat" w:hAnsi="GHEA Grapalat"/>
          <w:sz w:val="22"/>
          <w:szCs w:val="22"/>
          <w:lang w:val="af-ZA"/>
        </w:rPr>
        <w:t xml:space="preserve">%: </w:t>
      </w:r>
      <w:r w:rsidRPr="00345A1C">
        <w:rPr>
          <w:rFonts w:ascii="GHEA Grapalat" w:hAnsi="GHEA Grapalat"/>
          <w:sz w:val="22"/>
          <w:szCs w:val="22"/>
        </w:rPr>
        <w:t>Աճ</w:t>
      </w:r>
      <w:r w:rsidRPr="00052433">
        <w:rPr>
          <w:rFonts w:ascii="GHEA Grapalat" w:hAnsi="GHEA Grapalat"/>
          <w:sz w:val="22"/>
          <w:szCs w:val="22"/>
        </w:rPr>
        <w:t>ը</w:t>
      </w:r>
      <w:r w:rsidRPr="00345A1C">
        <w:rPr>
          <w:rFonts w:ascii="GHEA Grapalat" w:hAnsi="GHEA Grapalat"/>
          <w:sz w:val="22"/>
          <w:szCs w:val="22"/>
          <w:lang w:val="af-ZA"/>
        </w:rPr>
        <w:t xml:space="preserve"> </w:t>
      </w:r>
      <w:r w:rsidRPr="00345A1C">
        <w:rPr>
          <w:rFonts w:ascii="GHEA Grapalat" w:hAnsi="GHEA Grapalat"/>
          <w:sz w:val="22"/>
          <w:szCs w:val="22"/>
        </w:rPr>
        <w:t>պայմանավորող հիմնական</w:t>
      </w:r>
      <w:r w:rsidRPr="00345A1C">
        <w:rPr>
          <w:rFonts w:ascii="GHEA Grapalat" w:hAnsi="GHEA Grapalat"/>
          <w:sz w:val="22"/>
          <w:szCs w:val="22"/>
          <w:lang w:val="af-ZA"/>
        </w:rPr>
        <w:t xml:space="preserve"> </w:t>
      </w:r>
      <w:r w:rsidRPr="00345A1C">
        <w:rPr>
          <w:rFonts w:ascii="GHEA Grapalat" w:hAnsi="GHEA Grapalat"/>
          <w:sz w:val="22"/>
          <w:szCs w:val="22"/>
        </w:rPr>
        <w:t>գործոններն</w:t>
      </w:r>
      <w:r w:rsidRPr="00345A1C">
        <w:rPr>
          <w:rFonts w:ascii="GHEA Grapalat" w:hAnsi="GHEA Grapalat"/>
          <w:sz w:val="22"/>
          <w:szCs w:val="22"/>
          <w:lang w:val="af-ZA"/>
        </w:rPr>
        <w:t xml:space="preserve"> </w:t>
      </w:r>
      <w:r w:rsidRPr="00345A1C">
        <w:rPr>
          <w:rFonts w:ascii="GHEA Grapalat" w:hAnsi="GHEA Grapalat"/>
          <w:sz w:val="22"/>
          <w:szCs w:val="22"/>
        </w:rPr>
        <w:t>են</w:t>
      </w:r>
      <w:r w:rsidRPr="00345A1C">
        <w:rPr>
          <w:rFonts w:ascii="GHEA Grapalat" w:hAnsi="GHEA Grapalat"/>
          <w:sz w:val="22"/>
          <w:szCs w:val="22"/>
          <w:lang w:val="af-ZA"/>
        </w:rPr>
        <w:t xml:space="preserve"> </w:t>
      </w:r>
      <w:r w:rsidRPr="00345A1C">
        <w:rPr>
          <w:rFonts w:ascii="GHEA Grapalat" w:hAnsi="GHEA Grapalat"/>
          <w:sz w:val="22"/>
          <w:szCs w:val="22"/>
        </w:rPr>
        <w:t>եղել</w:t>
      </w:r>
      <w:r w:rsidRPr="00345A1C">
        <w:rPr>
          <w:rFonts w:ascii="GHEA Grapalat" w:hAnsi="GHEA Grapalat"/>
          <w:sz w:val="22"/>
          <w:szCs w:val="22"/>
          <w:lang w:val="af-ZA"/>
        </w:rPr>
        <w:t xml:space="preserve"> </w:t>
      </w:r>
      <w:r w:rsidRPr="00345A1C">
        <w:rPr>
          <w:rFonts w:ascii="GHEA Grapalat" w:hAnsi="GHEA Grapalat"/>
          <w:sz w:val="22"/>
          <w:szCs w:val="22"/>
        </w:rPr>
        <w:t>մասնավոր</w:t>
      </w:r>
      <w:r w:rsidRPr="00345A1C">
        <w:rPr>
          <w:rFonts w:ascii="GHEA Grapalat" w:hAnsi="GHEA Grapalat"/>
          <w:sz w:val="22"/>
          <w:szCs w:val="22"/>
          <w:lang w:val="af-ZA"/>
        </w:rPr>
        <w:t xml:space="preserve"> </w:t>
      </w:r>
      <w:r w:rsidRPr="00345A1C">
        <w:rPr>
          <w:rFonts w:ascii="GHEA Grapalat" w:hAnsi="GHEA Grapalat"/>
          <w:sz w:val="22"/>
          <w:szCs w:val="22"/>
        </w:rPr>
        <w:t>սպառման</w:t>
      </w:r>
      <w:r>
        <w:rPr>
          <w:rFonts w:ascii="GHEA Grapalat" w:hAnsi="GHEA Grapalat"/>
          <w:sz w:val="22"/>
          <w:szCs w:val="22"/>
        </w:rPr>
        <w:t xml:space="preserve"> աճը</w:t>
      </w:r>
      <w:r w:rsidRPr="00345A1C">
        <w:rPr>
          <w:rFonts w:ascii="GHEA Grapalat" w:hAnsi="GHEA Grapalat"/>
          <w:sz w:val="22"/>
          <w:szCs w:val="22"/>
          <w:lang w:val="af-ZA"/>
        </w:rPr>
        <w:t xml:space="preserve">, </w:t>
      </w:r>
      <w:r w:rsidRPr="00345A1C">
        <w:rPr>
          <w:rFonts w:ascii="GHEA Grapalat" w:hAnsi="GHEA Grapalat"/>
          <w:sz w:val="22"/>
          <w:szCs w:val="22"/>
        </w:rPr>
        <w:t>ինչպես</w:t>
      </w:r>
      <w:r w:rsidRPr="00345A1C">
        <w:rPr>
          <w:rFonts w:ascii="GHEA Grapalat" w:hAnsi="GHEA Grapalat"/>
          <w:sz w:val="22"/>
          <w:szCs w:val="22"/>
          <w:lang w:val="af-ZA"/>
        </w:rPr>
        <w:t xml:space="preserve"> </w:t>
      </w:r>
      <w:r w:rsidRPr="00345A1C">
        <w:rPr>
          <w:rFonts w:ascii="GHEA Grapalat" w:hAnsi="GHEA Grapalat"/>
          <w:sz w:val="22"/>
          <w:szCs w:val="22"/>
        </w:rPr>
        <w:t>նաև</w:t>
      </w:r>
      <w:r w:rsidRPr="00345A1C">
        <w:rPr>
          <w:rFonts w:ascii="GHEA Grapalat" w:hAnsi="GHEA Grapalat"/>
          <w:sz w:val="22"/>
          <w:szCs w:val="22"/>
          <w:lang w:val="af-ZA"/>
        </w:rPr>
        <w:t xml:space="preserve"> </w:t>
      </w:r>
      <w:r w:rsidRPr="00345A1C">
        <w:rPr>
          <w:rFonts w:ascii="GHEA Grapalat" w:hAnsi="GHEA Grapalat"/>
          <w:sz w:val="22"/>
          <w:szCs w:val="22"/>
        </w:rPr>
        <w:t>հարկաբյուջետային</w:t>
      </w:r>
      <w:r w:rsidRPr="00345A1C">
        <w:rPr>
          <w:rFonts w:ascii="GHEA Grapalat" w:hAnsi="GHEA Grapalat"/>
          <w:sz w:val="22"/>
          <w:szCs w:val="22"/>
          <w:lang w:val="af-ZA"/>
        </w:rPr>
        <w:t xml:space="preserve"> </w:t>
      </w:r>
      <w:r w:rsidRPr="00345A1C">
        <w:rPr>
          <w:rFonts w:ascii="GHEA Grapalat" w:hAnsi="GHEA Grapalat"/>
          <w:sz w:val="22"/>
          <w:szCs w:val="22"/>
        </w:rPr>
        <w:t>քաղաքականության</w:t>
      </w:r>
      <w:r w:rsidRPr="00345A1C">
        <w:rPr>
          <w:rFonts w:ascii="GHEA Grapalat" w:hAnsi="GHEA Grapalat"/>
          <w:sz w:val="22"/>
          <w:szCs w:val="22"/>
          <w:lang w:val="af-ZA"/>
        </w:rPr>
        <w:t xml:space="preserve"> </w:t>
      </w:r>
      <w:r w:rsidRPr="00345A1C">
        <w:rPr>
          <w:rFonts w:ascii="GHEA Grapalat" w:hAnsi="GHEA Grapalat"/>
          <w:sz w:val="22"/>
          <w:szCs w:val="22"/>
        </w:rPr>
        <w:t>խթանող</w:t>
      </w:r>
      <w:r w:rsidRPr="00345A1C">
        <w:rPr>
          <w:rFonts w:ascii="GHEA Grapalat" w:hAnsi="GHEA Grapalat"/>
          <w:sz w:val="22"/>
          <w:szCs w:val="22"/>
          <w:lang w:val="af-ZA"/>
        </w:rPr>
        <w:t xml:space="preserve"> </w:t>
      </w:r>
      <w:r w:rsidRPr="00345A1C">
        <w:rPr>
          <w:rFonts w:ascii="GHEA Grapalat" w:hAnsi="GHEA Grapalat"/>
          <w:sz w:val="22"/>
          <w:szCs w:val="22"/>
        </w:rPr>
        <w:t>դիրքը</w:t>
      </w:r>
      <w:r w:rsidRPr="00345A1C">
        <w:rPr>
          <w:rFonts w:ascii="GHEA Grapalat" w:hAnsi="GHEA Grapalat"/>
          <w:sz w:val="22"/>
          <w:szCs w:val="22"/>
          <w:lang w:val="af-ZA"/>
        </w:rPr>
        <w:t>:</w:t>
      </w:r>
      <w:r w:rsidRPr="00345A1C">
        <w:rPr>
          <w:rFonts w:ascii="GHEA Grapalat" w:hAnsi="GHEA Grapalat"/>
          <w:sz w:val="22"/>
          <w:szCs w:val="22"/>
        </w:rPr>
        <w:t xml:space="preserve"> </w:t>
      </w:r>
      <w:r>
        <w:rPr>
          <w:rFonts w:ascii="GHEA Grapalat" w:hAnsi="GHEA Grapalat"/>
          <w:sz w:val="22"/>
          <w:szCs w:val="22"/>
        </w:rPr>
        <w:t xml:space="preserve">Մյուս կողմից, տարվա առաջին կիսամյակում ներմուծման կտրուկ աճը խոչընդոտել է աճի արագացմանը. </w:t>
      </w:r>
      <w:r w:rsidR="00A75437">
        <w:rPr>
          <w:rFonts w:ascii="GHEA Grapalat" w:hAnsi="GHEA Grapalat"/>
          <w:sz w:val="22"/>
          <w:szCs w:val="22"/>
        </w:rPr>
        <w:t>ԱՄՆ մաքսատուրքերի կիրառման հետևանքով</w:t>
      </w:r>
      <w:r w:rsidRPr="00B6055E">
        <w:rPr>
          <w:rFonts w:ascii="GHEA Grapalat" w:hAnsi="GHEA Grapalat"/>
          <w:sz w:val="22"/>
          <w:szCs w:val="22"/>
        </w:rPr>
        <w:t xml:space="preserve"> տարվա առաջին կեսին </w:t>
      </w:r>
      <w:r w:rsidR="00A75437">
        <w:rPr>
          <w:rFonts w:ascii="GHEA Grapalat" w:hAnsi="GHEA Grapalat"/>
          <w:sz w:val="22"/>
          <w:szCs w:val="22"/>
        </w:rPr>
        <w:t>գործարար հատվածի և տնային տնտեսությունների կողմից</w:t>
      </w:r>
      <w:r w:rsidRPr="00B6055E">
        <w:rPr>
          <w:rFonts w:ascii="GHEA Grapalat" w:hAnsi="GHEA Grapalat"/>
          <w:sz w:val="22"/>
          <w:szCs w:val="22"/>
        </w:rPr>
        <w:t xml:space="preserve"> </w:t>
      </w:r>
      <w:r w:rsidR="00A75437">
        <w:rPr>
          <w:rFonts w:ascii="GHEA Grapalat" w:hAnsi="GHEA Grapalat"/>
          <w:sz w:val="22"/>
          <w:szCs w:val="22"/>
        </w:rPr>
        <w:t>կատարված</w:t>
      </w:r>
      <w:r w:rsidRPr="00B6055E">
        <w:rPr>
          <w:rFonts w:ascii="GHEA Grapalat" w:hAnsi="GHEA Grapalat"/>
          <w:sz w:val="22"/>
          <w:szCs w:val="22"/>
        </w:rPr>
        <w:t xml:space="preserve"> նախնական գն</w:t>
      </w:r>
      <w:r w:rsidR="000569B0">
        <w:rPr>
          <w:rFonts w:ascii="GHEA Grapalat" w:hAnsi="GHEA Grapalat"/>
          <w:sz w:val="22"/>
          <w:szCs w:val="22"/>
        </w:rPr>
        <w:t>ումներ</w:t>
      </w:r>
      <w:r w:rsidR="00A75437">
        <w:rPr>
          <w:rFonts w:ascii="GHEA Grapalat" w:hAnsi="GHEA Grapalat"/>
          <w:sz w:val="22"/>
          <w:szCs w:val="22"/>
        </w:rPr>
        <w:t xml:space="preserve">ը հանգեցրել են ներմուծման աճի </w:t>
      </w:r>
      <w:r w:rsidR="000569B0">
        <w:rPr>
          <w:rFonts w:ascii="GHEA Grapalat" w:hAnsi="GHEA Grapalat"/>
          <w:sz w:val="22"/>
          <w:szCs w:val="22"/>
        </w:rPr>
        <w:t xml:space="preserve">և </w:t>
      </w:r>
      <w:r w:rsidRPr="00B6055E">
        <w:rPr>
          <w:rFonts w:ascii="GHEA Grapalat" w:hAnsi="GHEA Grapalat"/>
          <w:sz w:val="22"/>
          <w:szCs w:val="22"/>
        </w:rPr>
        <w:t xml:space="preserve">առևտրային </w:t>
      </w:r>
      <w:r w:rsidR="00A75437">
        <w:rPr>
          <w:rFonts w:ascii="GHEA Grapalat" w:hAnsi="GHEA Grapalat"/>
          <w:sz w:val="22"/>
          <w:szCs w:val="22"/>
        </w:rPr>
        <w:t>պակասուրդի խորացման:</w:t>
      </w:r>
    </w:p>
    <w:p w14:paraId="74B8FDD3" w14:textId="77777777" w:rsidR="00B46CAA" w:rsidRPr="008E6CBD" w:rsidRDefault="00B46CAA" w:rsidP="00B46CAA">
      <w:pPr>
        <w:tabs>
          <w:tab w:val="left" w:pos="2835"/>
        </w:tabs>
        <w:spacing w:line="276" w:lineRule="auto"/>
        <w:ind w:firstLine="567"/>
        <w:jc w:val="both"/>
        <w:rPr>
          <w:rFonts w:ascii="GHEA Grapalat" w:hAnsi="GHEA Grapalat"/>
          <w:sz w:val="22"/>
          <w:szCs w:val="22"/>
        </w:rPr>
      </w:pPr>
      <w:r w:rsidRPr="00345A1C">
        <w:rPr>
          <w:rFonts w:ascii="GHEA Grapalat" w:hAnsi="GHEA Grapalat"/>
          <w:sz w:val="22"/>
          <w:szCs w:val="22"/>
        </w:rPr>
        <w:t>Եվրագոտու</w:t>
      </w:r>
      <w:r w:rsidRPr="00345A1C">
        <w:rPr>
          <w:rFonts w:ascii="GHEA Grapalat" w:hAnsi="GHEA Grapalat"/>
          <w:sz w:val="22"/>
          <w:szCs w:val="22"/>
          <w:lang w:val="af-ZA"/>
        </w:rPr>
        <w:t xml:space="preserve"> </w:t>
      </w:r>
      <w:r w:rsidRPr="00345A1C">
        <w:rPr>
          <w:rFonts w:ascii="GHEA Grapalat" w:hAnsi="GHEA Grapalat"/>
          <w:sz w:val="22"/>
          <w:szCs w:val="22"/>
        </w:rPr>
        <w:t>տնտեսությունն</w:t>
      </w:r>
      <w:r w:rsidRPr="00345A1C">
        <w:rPr>
          <w:rFonts w:ascii="GHEA Grapalat" w:hAnsi="GHEA Grapalat"/>
          <w:sz w:val="22"/>
          <w:szCs w:val="22"/>
          <w:lang w:val="af-ZA"/>
        </w:rPr>
        <w:t xml:space="preserve"> </w:t>
      </w:r>
      <w:r w:rsidRPr="00345A1C">
        <w:rPr>
          <w:rFonts w:ascii="GHEA Grapalat" w:hAnsi="GHEA Grapalat"/>
          <w:sz w:val="22"/>
          <w:szCs w:val="22"/>
        </w:rPr>
        <w:t>աճել</w:t>
      </w:r>
      <w:r w:rsidRPr="009A1225">
        <w:rPr>
          <w:rFonts w:ascii="GHEA Grapalat" w:hAnsi="GHEA Grapalat"/>
          <w:sz w:val="22"/>
          <w:szCs w:val="22"/>
        </w:rPr>
        <w:t xml:space="preserve"> </w:t>
      </w:r>
      <w:r w:rsidRPr="00345A1C">
        <w:rPr>
          <w:rFonts w:ascii="GHEA Grapalat" w:hAnsi="GHEA Grapalat"/>
          <w:sz w:val="22"/>
          <w:szCs w:val="22"/>
        </w:rPr>
        <w:t>է</w:t>
      </w:r>
      <w:r w:rsidRPr="009A1225">
        <w:rPr>
          <w:rFonts w:ascii="GHEA Grapalat" w:hAnsi="GHEA Grapalat"/>
          <w:sz w:val="22"/>
          <w:szCs w:val="22"/>
        </w:rPr>
        <w:t xml:space="preserve"> 1.4%</w:t>
      </w:r>
      <w:r w:rsidRPr="009A1225">
        <w:rPr>
          <w:rFonts w:ascii="GHEA Grapalat" w:hAnsi="GHEA Grapalat"/>
          <w:sz w:val="22"/>
          <w:szCs w:val="22"/>
        </w:rPr>
        <w:noBreakHyphen/>
      </w:r>
      <w:r w:rsidRPr="00345A1C">
        <w:rPr>
          <w:rFonts w:ascii="GHEA Grapalat" w:hAnsi="GHEA Grapalat"/>
          <w:sz w:val="22"/>
          <w:szCs w:val="22"/>
        </w:rPr>
        <w:t>ով</w:t>
      </w:r>
      <w:r>
        <w:rPr>
          <w:rFonts w:ascii="GHEA Grapalat" w:hAnsi="GHEA Grapalat"/>
          <w:sz w:val="22"/>
          <w:szCs w:val="22"/>
        </w:rPr>
        <w:t>՝ 2024թ</w:t>
      </w:r>
      <w:r w:rsidRPr="009A1225">
        <w:rPr>
          <w:rFonts w:ascii="Cambria Math" w:hAnsi="Cambria Math" w:cs="Cambria Math"/>
          <w:sz w:val="22"/>
          <w:szCs w:val="22"/>
        </w:rPr>
        <w:t>․</w:t>
      </w:r>
      <w:r w:rsidRPr="009A1225">
        <w:rPr>
          <w:rFonts w:ascii="GHEA Grapalat" w:hAnsi="GHEA Grapalat"/>
          <w:sz w:val="22"/>
          <w:szCs w:val="22"/>
        </w:rPr>
        <w:t xml:space="preserve"> 0</w:t>
      </w:r>
      <w:r w:rsidRPr="009A1225">
        <w:rPr>
          <w:rFonts w:ascii="Cambria Math" w:hAnsi="Cambria Math" w:cs="Cambria Math"/>
          <w:sz w:val="22"/>
          <w:szCs w:val="22"/>
        </w:rPr>
        <w:t>․</w:t>
      </w:r>
      <w:r w:rsidRPr="009A1225">
        <w:rPr>
          <w:rFonts w:ascii="GHEA Grapalat" w:hAnsi="GHEA Grapalat"/>
          <w:sz w:val="22"/>
          <w:szCs w:val="22"/>
        </w:rPr>
        <w:t>9% ցուցանիշի</w:t>
      </w:r>
      <w:r>
        <w:rPr>
          <w:rFonts w:ascii="GHEA Grapalat" w:hAnsi="GHEA Grapalat"/>
          <w:sz w:val="22"/>
          <w:szCs w:val="22"/>
        </w:rPr>
        <w:t xml:space="preserve"> համեմատ</w:t>
      </w:r>
      <w:r w:rsidRPr="00345A1C">
        <w:rPr>
          <w:rFonts w:ascii="GHEA Grapalat" w:hAnsi="GHEA Grapalat"/>
          <w:sz w:val="22"/>
          <w:szCs w:val="22"/>
          <w:vertAlign w:val="superscript"/>
        </w:rPr>
        <w:footnoteReference w:id="2"/>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 և 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տնտեսական</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w:t>
      </w:r>
      <w:r>
        <w:rPr>
          <w:rFonts w:ascii="GHEA Grapalat" w:hAnsi="GHEA Grapalat"/>
          <w:sz w:val="22"/>
          <w:szCs w:val="22"/>
          <w:lang w:val="af-ZA"/>
        </w:rPr>
        <w:t>1.6</w:t>
      </w:r>
      <w:r w:rsidRPr="00345A1C">
        <w:rPr>
          <w:rFonts w:ascii="GHEA Grapalat" w:hAnsi="GHEA Grapalat"/>
          <w:sz w:val="22"/>
          <w:szCs w:val="22"/>
          <w:lang w:val="af-ZA"/>
        </w:rPr>
        <w:t xml:space="preserve">%, </w:t>
      </w:r>
      <w:r w:rsidRPr="00345A1C">
        <w:rPr>
          <w:rFonts w:ascii="GHEA Grapalat" w:hAnsi="GHEA Grapalat"/>
          <w:sz w:val="22"/>
          <w:szCs w:val="22"/>
        </w:rPr>
        <w:t>իսկ</w:t>
      </w:r>
      <w:r w:rsidRPr="00345A1C">
        <w:rPr>
          <w:rFonts w:ascii="GHEA Grapalat" w:hAnsi="GHEA Grapalat"/>
          <w:sz w:val="22"/>
          <w:szCs w:val="22"/>
          <w:lang w:val="af-ZA"/>
        </w:rPr>
        <w:t xml:space="preserve"> </w:t>
      </w:r>
      <w:r w:rsidRPr="00345A1C">
        <w:rPr>
          <w:rFonts w:ascii="GHEA Grapalat" w:hAnsi="GHEA Grapalat"/>
          <w:sz w:val="22"/>
          <w:szCs w:val="22"/>
        </w:rPr>
        <w:t>հաջորդ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աստիճանաբար</w:t>
      </w:r>
      <w:r w:rsidRPr="00345A1C">
        <w:rPr>
          <w:rFonts w:ascii="GHEA Grapalat" w:hAnsi="GHEA Grapalat"/>
          <w:sz w:val="22"/>
          <w:szCs w:val="22"/>
          <w:lang w:val="af-ZA"/>
        </w:rPr>
        <w:t xml:space="preserve"> </w:t>
      </w:r>
      <w:r>
        <w:rPr>
          <w:rFonts w:ascii="GHEA Grapalat" w:hAnsi="GHEA Grapalat"/>
          <w:sz w:val="22"/>
          <w:szCs w:val="22"/>
        </w:rPr>
        <w:t>դանդաղել է</w:t>
      </w:r>
      <w:r w:rsidRPr="00345A1C">
        <w:rPr>
          <w:rFonts w:ascii="GHEA Grapalat" w:hAnsi="GHEA Grapalat"/>
          <w:sz w:val="22"/>
          <w:szCs w:val="22"/>
        </w:rPr>
        <w:t>՝</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կազմելով</w:t>
      </w:r>
      <w:r w:rsidRPr="00345A1C">
        <w:rPr>
          <w:rFonts w:ascii="GHEA Grapalat" w:hAnsi="GHEA Grapalat"/>
          <w:sz w:val="22"/>
          <w:szCs w:val="22"/>
          <w:lang w:val="af-ZA"/>
        </w:rPr>
        <w:t xml:space="preserve"> 1</w:t>
      </w:r>
      <w:r>
        <w:rPr>
          <w:rFonts w:ascii="GHEA Grapalat" w:hAnsi="GHEA Grapalat"/>
          <w:sz w:val="22"/>
          <w:szCs w:val="22"/>
        </w:rPr>
        <w:t>.4</w:t>
      </w:r>
      <w:r w:rsidRPr="00345A1C">
        <w:rPr>
          <w:rFonts w:ascii="GHEA Grapalat" w:hAnsi="GHEA Grapalat"/>
          <w:sz w:val="22"/>
          <w:szCs w:val="22"/>
          <w:lang w:val="af-ZA"/>
        </w:rPr>
        <w:t>%</w:t>
      </w:r>
      <w:r w:rsidRPr="00345A1C">
        <w:rPr>
          <w:rFonts w:ascii="GHEA Grapalat" w:hAnsi="GHEA Grapalat"/>
          <w:sz w:val="22"/>
          <w:szCs w:val="22"/>
        </w:rPr>
        <w:t>, իսկ չորրորդ եռամսյակում՝ 1.2%</w:t>
      </w:r>
      <w:r w:rsidRPr="00345A1C">
        <w:rPr>
          <w:rFonts w:ascii="GHEA Grapalat" w:hAnsi="GHEA Grapalat"/>
          <w:sz w:val="22"/>
          <w:szCs w:val="22"/>
          <w:lang w:val="af-ZA"/>
        </w:rPr>
        <w:t xml:space="preserve">: </w:t>
      </w:r>
      <w:r>
        <w:rPr>
          <w:rFonts w:ascii="GHEA Grapalat" w:hAnsi="GHEA Grapalat"/>
          <w:sz w:val="22"/>
          <w:szCs w:val="22"/>
        </w:rPr>
        <w:t>Աճի արագացումը 2025թ</w:t>
      </w:r>
      <w:r>
        <w:rPr>
          <w:rFonts w:ascii="Cambria Math" w:hAnsi="Cambria Math"/>
          <w:sz w:val="22"/>
          <w:szCs w:val="22"/>
        </w:rPr>
        <w:t xml:space="preserve">․ </w:t>
      </w:r>
      <w:r>
        <w:rPr>
          <w:rFonts w:ascii="GHEA Grapalat" w:hAnsi="GHEA Grapalat"/>
          <w:sz w:val="22"/>
          <w:szCs w:val="22"/>
        </w:rPr>
        <w:t xml:space="preserve">պայմանավորված է եղել սպառման և ներդրումների </w:t>
      </w:r>
      <w:r w:rsidRPr="008E6CBD">
        <w:rPr>
          <w:rFonts w:ascii="GHEA Grapalat" w:hAnsi="GHEA Grapalat"/>
          <w:sz w:val="22"/>
          <w:szCs w:val="22"/>
        </w:rPr>
        <w:t>(</w:t>
      </w:r>
      <w:r>
        <w:rPr>
          <w:rFonts w:ascii="GHEA Grapalat" w:hAnsi="GHEA Grapalat"/>
          <w:sz w:val="22"/>
          <w:szCs w:val="22"/>
        </w:rPr>
        <w:t>սարքավորումներում և ոչ նյութական ակտիվներում</w:t>
      </w:r>
      <w:r w:rsidRPr="008E6CBD">
        <w:rPr>
          <w:rFonts w:ascii="GHEA Grapalat" w:hAnsi="GHEA Grapalat"/>
          <w:sz w:val="22"/>
          <w:szCs w:val="22"/>
        </w:rPr>
        <w:t>)</w:t>
      </w:r>
      <w:r>
        <w:rPr>
          <w:rFonts w:ascii="GHEA Grapalat" w:hAnsi="GHEA Grapalat"/>
          <w:sz w:val="22"/>
          <w:szCs w:val="22"/>
        </w:rPr>
        <w:t xml:space="preserve"> ընդլայնմամբ, ինչպես նաև դեպի ԱՄՆ արտահանման աճով:</w:t>
      </w:r>
    </w:p>
    <w:p w14:paraId="1B5CB869" w14:textId="2A70E738" w:rsidR="00A75437" w:rsidRPr="00540010" w:rsidRDefault="00A75437" w:rsidP="00A75437">
      <w:pPr>
        <w:tabs>
          <w:tab w:val="left" w:pos="2835"/>
        </w:tabs>
        <w:spacing w:line="276" w:lineRule="auto"/>
        <w:ind w:firstLine="567"/>
        <w:jc w:val="both"/>
        <w:rPr>
          <w:rFonts w:ascii="GHEA Grapalat" w:hAnsi="GHEA Grapalat"/>
          <w:sz w:val="22"/>
          <w:szCs w:val="22"/>
        </w:rPr>
      </w:pPr>
      <w:r>
        <w:rPr>
          <w:rFonts w:ascii="GHEA Grapalat" w:hAnsi="GHEA Grapalat"/>
          <w:sz w:val="22"/>
          <w:szCs w:val="22"/>
        </w:rPr>
        <w:t>2025</w:t>
      </w:r>
      <w:r w:rsidRPr="00345A1C">
        <w:rPr>
          <w:rFonts w:ascii="GHEA Grapalat" w:hAnsi="GHEA Grapalat"/>
          <w:sz w:val="22"/>
          <w:szCs w:val="22"/>
        </w:rPr>
        <w:t>թ</w:t>
      </w:r>
      <w:r>
        <w:rPr>
          <w:rFonts w:ascii="GHEA Grapalat" w:hAnsi="GHEA Grapalat"/>
          <w:sz w:val="22"/>
          <w:szCs w:val="22"/>
        </w:rPr>
        <w:t>.</w:t>
      </w:r>
      <w:r w:rsidRPr="00345A1C">
        <w:rPr>
          <w:rFonts w:ascii="GHEA Grapalat" w:hAnsi="GHEA Grapalat"/>
          <w:sz w:val="22"/>
          <w:szCs w:val="22"/>
        </w:rPr>
        <w:t xml:space="preserve"> Չինաստանում գրանցվել է 5</w:t>
      </w:r>
      <w:r w:rsidRPr="00345A1C">
        <w:rPr>
          <w:rFonts w:ascii="GHEA Grapalat" w:hAnsi="GHEA Grapalat"/>
          <w:sz w:val="22"/>
          <w:szCs w:val="22"/>
          <w:lang w:val="af-ZA"/>
        </w:rPr>
        <w:t>%</w:t>
      </w:r>
      <w:r w:rsidRPr="00345A1C">
        <w:rPr>
          <w:rStyle w:val="FootnoteReference"/>
          <w:rFonts w:ascii="GHEA Grapalat" w:hAnsi="GHEA Grapalat"/>
          <w:sz w:val="22"/>
          <w:szCs w:val="22"/>
          <w:lang w:val="af-ZA"/>
        </w:rPr>
        <w:footnoteReference w:id="3"/>
      </w:r>
      <w:r w:rsidRPr="00345A1C">
        <w:rPr>
          <w:rFonts w:ascii="GHEA Grapalat" w:hAnsi="GHEA Grapalat"/>
          <w:sz w:val="22"/>
          <w:szCs w:val="22"/>
          <w:lang w:val="af-ZA"/>
        </w:rPr>
        <w:t xml:space="preserve"> տնտեսական աճ</w:t>
      </w:r>
      <w:r w:rsidRPr="00345A1C">
        <w:rPr>
          <w:rFonts w:ascii="GHEA Grapalat" w:hAnsi="GHEA Grapalat"/>
          <w:sz w:val="22"/>
          <w:szCs w:val="22"/>
        </w:rPr>
        <w:t xml:space="preserve">՝ հասնելով կառավարության կողմից սահմանված </w:t>
      </w:r>
      <w:r w:rsidRPr="00BC2C75">
        <w:rPr>
          <w:rFonts w:ascii="GHEA Grapalat" w:hAnsi="GHEA Grapalat"/>
          <w:sz w:val="22"/>
          <w:szCs w:val="22"/>
        </w:rPr>
        <w:t>5%</w:t>
      </w:r>
      <w:r w:rsidRPr="00345A1C">
        <w:rPr>
          <w:rFonts w:ascii="GHEA Grapalat" w:hAnsi="GHEA Grapalat"/>
          <w:sz w:val="22"/>
          <w:szCs w:val="22"/>
        </w:rPr>
        <w:t xml:space="preserve"> թիրախին։ Ընդ որում, առաջին եռամսյակում գրանցվել է </w:t>
      </w:r>
      <w:r>
        <w:rPr>
          <w:rFonts w:ascii="GHEA Grapalat" w:hAnsi="GHEA Grapalat"/>
          <w:sz w:val="22"/>
          <w:szCs w:val="22"/>
          <w:lang w:val="de-AT"/>
        </w:rPr>
        <w:t>5.</w:t>
      </w:r>
      <w:r>
        <w:rPr>
          <w:rFonts w:ascii="GHEA Grapalat" w:hAnsi="GHEA Grapalat"/>
          <w:sz w:val="22"/>
          <w:szCs w:val="22"/>
        </w:rPr>
        <w:t>4</w:t>
      </w:r>
      <w:r w:rsidRPr="00345A1C">
        <w:rPr>
          <w:rFonts w:ascii="GHEA Grapalat" w:hAnsi="GHEA Grapalat"/>
          <w:sz w:val="22"/>
          <w:szCs w:val="22"/>
          <w:lang w:val="de-AT"/>
        </w:rPr>
        <w:t>%</w:t>
      </w:r>
      <w:r w:rsidRPr="00345A1C">
        <w:rPr>
          <w:rFonts w:ascii="GHEA Grapalat" w:hAnsi="GHEA Grapalat"/>
          <w:sz w:val="22"/>
          <w:szCs w:val="22"/>
        </w:rPr>
        <w:t xml:space="preserve"> տնտեսա</w:t>
      </w:r>
      <w:r>
        <w:rPr>
          <w:rFonts w:ascii="GHEA Grapalat" w:hAnsi="GHEA Grapalat"/>
          <w:sz w:val="22"/>
          <w:szCs w:val="22"/>
        </w:rPr>
        <w:t>կան աճ, երկրորդ եռամսյակում՝ 5.2</w:t>
      </w:r>
      <w:r w:rsidRPr="00345A1C">
        <w:rPr>
          <w:rFonts w:ascii="GHEA Grapalat" w:hAnsi="GHEA Grapalat"/>
          <w:sz w:val="22"/>
          <w:szCs w:val="22"/>
          <w:lang w:val="de-AT"/>
        </w:rPr>
        <w:t>%</w:t>
      </w:r>
      <w:r>
        <w:rPr>
          <w:rFonts w:ascii="GHEA Grapalat" w:hAnsi="GHEA Grapalat"/>
          <w:sz w:val="22"/>
          <w:szCs w:val="22"/>
        </w:rPr>
        <w:t xml:space="preserve">, հաջորդող եռամսյակներում դանդաղել է և </w:t>
      </w:r>
      <w:r w:rsidRPr="00345A1C">
        <w:rPr>
          <w:rFonts w:ascii="GHEA Grapalat" w:hAnsi="GHEA Grapalat"/>
          <w:sz w:val="22"/>
          <w:szCs w:val="22"/>
        </w:rPr>
        <w:t>եր</w:t>
      </w:r>
      <w:r>
        <w:rPr>
          <w:rFonts w:ascii="GHEA Grapalat" w:hAnsi="GHEA Grapalat"/>
          <w:sz w:val="22"/>
          <w:szCs w:val="22"/>
        </w:rPr>
        <w:t>րորդ եռամսյակում կազմել է 4.8</w:t>
      </w:r>
      <w:r w:rsidRPr="00345A1C">
        <w:rPr>
          <w:rFonts w:ascii="GHEA Grapalat" w:hAnsi="GHEA Grapalat"/>
          <w:sz w:val="22"/>
          <w:szCs w:val="22"/>
          <w:lang w:val="de-AT"/>
        </w:rPr>
        <w:t>%</w:t>
      </w:r>
      <w:r>
        <w:rPr>
          <w:rFonts w:ascii="GHEA Grapalat" w:hAnsi="GHEA Grapalat"/>
          <w:sz w:val="22"/>
          <w:szCs w:val="22"/>
        </w:rPr>
        <w:t>, չորրորդում՝ 4.5</w:t>
      </w:r>
      <w:r w:rsidRPr="00345A1C">
        <w:rPr>
          <w:rFonts w:ascii="GHEA Grapalat" w:hAnsi="GHEA Grapalat"/>
          <w:sz w:val="22"/>
          <w:szCs w:val="22"/>
          <w:lang w:val="af-ZA"/>
        </w:rPr>
        <w:t xml:space="preserve">%: </w:t>
      </w:r>
      <w:r>
        <w:rPr>
          <w:rFonts w:ascii="GHEA Grapalat" w:hAnsi="GHEA Grapalat"/>
          <w:sz w:val="22"/>
          <w:szCs w:val="22"/>
        </w:rPr>
        <w:t>Գրանցված տնտեսական աճը պայմանավորված է եղել արտահանման աճով՝ փոխհատուցելով թույլ ներքին պահանջարկն ու ԱՄՆ մաքսատուրքերի ազդեցությունը: Արտահանման աճը, իր հերթին, պայմանավորված է եղել չինական ընկերությունների կողմից դեպի Եվրոպա և Լատինական Ամերիկա արտահանման ուղղությունների դիվերսիֆիկացմամբ:</w:t>
      </w:r>
    </w:p>
    <w:p w14:paraId="18F60BF3" w14:textId="29AB0345" w:rsidR="00A75437" w:rsidRDefault="00A75437" w:rsidP="00A75437">
      <w:pPr>
        <w:tabs>
          <w:tab w:val="left" w:pos="2835"/>
        </w:tabs>
        <w:spacing w:after="240" w:line="276" w:lineRule="auto"/>
        <w:ind w:firstLine="567"/>
        <w:jc w:val="both"/>
        <w:rPr>
          <w:rFonts w:ascii="GHEA Grapalat" w:hAnsi="GHEA Grapalat"/>
          <w:sz w:val="22"/>
          <w:szCs w:val="22"/>
        </w:rPr>
      </w:pPr>
      <w:r>
        <w:rPr>
          <w:rFonts w:ascii="GHEA Grapalat" w:hAnsi="GHEA Grapalat"/>
          <w:sz w:val="22"/>
          <w:szCs w:val="22"/>
        </w:rPr>
        <w:t>ՌԴ տնտեսական աճը կտրուկ դանդաղել է՝ 2025</w:t>
      </w:r>
      <w:r w:rsidRPr="00345A1C">
        <w:rPr>
          <w:rFonts w:ascii="GHEA Grapalat" w:hAnsi="GHEA Grapalat"/>
          <w:sz w:val="22"/>
          <w:szCs w:val="22"/>
        </w:rPr>
        <w:t>թ</w:t>
      </w:r>
      <w:r>
        <w:rPr>
          <w:rFonts w:ascii="GHEA Grapalat" w:hAnsi="GHEA Grapalat"/>
          <w:sz w:val="22"/>
          <w:szCs w:val="22"/>
        </w:rPr>
        <w:t xml:space="preserve">. կազմելով </w:t>
      </w:r>
      <w:r w:rsidRPr="00345A1C">
        <w:rPr>
          <w:rFonts w:ascii="GHEA Grapalat" w:hAnsi="GHEA Grapalat"/>
          <w:sz w:val="22"/>
          <w:szCs w:val="22"/>
        </w:rPr>
        <w:t>1%</w:t>
      </w:r>
      <w:r w:rsidRPr="00345A1C">
        <w:rPr>
          <w:rStyle w:val="FootnoteReference"/>
          <w:rFonts w:ascii="GHEA Grapalat" w:hAnsi="GHEA Grapalat"/>
          <w:sz w:val="22"/>
          <w:szCs w:val="22"/>
        </w:rPr>
        <w:footnoteReference w:id="4"/>
      </w:r>
      <w:r>
        <w:rPr>
          <w:rFonts w:ascii="GHEA Grapalat" w:hAnsi="GHEA Grapalat"/>
          <w:sz w:val="22"/>
          <w:szCs w:val="22"/>
        </w:rPr>
        <w:t>՝ նախորդ տարվա 4.1</w:t>
      </w:r>
      <w:r w:rsidRPr="0045328C">
        <w:rPr>
          <w:rFonts w:ascii="GHEA Grapalat" w:hAnsi="GHEA Grapalat"/>
          <w:sz w:val="22"/>
          <w:szCs w:val="22"/>
        </w:rPr>
        <w:t>%</w:t>
      </w:r>
      <w:r>
        <w:rPr>
          <w:rFonts w:ascii="GHEA Grapalat" w:hAnsi="GHEA Grapalat"/>
          <w:sz w:val="22"/>
          <w:szCs w:val="22"/>
        </w:rPr>
        <w:t>-ի դիմաց: Ը</w:t>
      </w:r>
      <w:r w:rsidRPr="00345A1C">
        <w:rPr>
          <w:rFonts w:ascii="GHEA Grapalat" w:hAnsi="GHEA Grapalat"/>
          <w:sz w:val="22"/>
          <w:szCs w:val="22"/>
        </w:rPr>
        <w:t>նդ որում, ա</w:t>
      </w:r>
      <w:r>
        <w:rPr>
          <w:rFonts w:ascii="GHEA Grapalat" w:hAnsi="GHEA Grapalat"/>
          <w:sz w:val="22"/>
          <w:szCs w:val="22"/>
        </w:rPr>
        <w:t>ռաջին եռամսյակում աճը կազմել է 1.</w:t>
      </w:r>
      <w:r w:rsidR="00493BAB" w:rsidRPr="00F564B2">
        <w:rPr>
          <w:rFonts w:ascii="GHEA Grapalat" w:hAnsi="GHEA Grapalat"/>
          <w:sz w:val="22"/>
          <w:szCs w:val="22"/>
        </w:rPr>
        <w:t>3</w:t>
      </w:r>
      <w:r>
        <w:rPr>
          <w:rFonts w:ascii="GHEA Grapalat" w:hAnsi="GHEA Grapalat"/>
          <w:sz w:val="22"/>
          <w:szCs w:val="22"/>
        </w:rPr>
        <w:t>%, երկրորդ եռամսյակում՝ 1</w:t>
      </w:r>
      <w:r w:rsidRPr="00345A1C">
        <w:rPr>
          <w:rFonts w:ascii="GHEA Grapalat" w:hAnsi="GHEA Grapalat"/>
          <w:sz w:val="22"/>
          <w:szCs w:val="22"/>
        </w:rPr>
        <w:t xml:space="preserve">%, երրորդում՝ </w:t>
      </w:r>
      <w:r>
        <w:rPr>
          <w:rFonts w:ascii="GHEA Grapalat" w:hAnsi="GHEA Grapalat"/>
          <w:sz w:val="22"/>
          <w:szCs w:val="22"/>
        </w:rPr>
        <w:t>0.</w:t>
      </w:r>
      <w:r w:rsidR="00493BAB" w:rsidRPr="00F564B2">
        <w:rPr>
          <w:rFonts w:ascii="GHEA Grapalat" w:hAnsi="GHEA Grapalat"/>
          <w:sz w:val="22"/>
          <w:szCs w:val="22"/>
        </w:rPr>
        <w:t>8</w:t>
      </w:r>
      <w:r w:rsidRPr="00345A1C">
        <w:rPr>
          <w:rFonts w:ascii="GHEA Grapalat" w:hAnsi="GHEA Grapalat"/>
          <w:sz w:val="22"/>
          <w:szCs w:val="22"/>
        </w:rPr>
        <w:t>% և չորրորդ եռամսյակում</w:t>
      </w:r>
      <w:r w:rsidR="00825B54" w:rsidRPr="00B06C86">
        <w:rPr>
          <w:rFonts w:ascii="GHEA Grapalat" w:hAnsi="GHEA Grapalat"/>
          <w:sz w:val="22"/>
          <w:szCs w:val="22"/>
        </w:rPr>
        <w:t>՝</w:t>
      </w:r>
      <w:r w:rsidRPr="00345A1C">
        <w:rPr>
          <w:rFonts w:ascii="GHEA Grapalat" w:hAnsi="GHEA Grapalat"/>
          <w:sz w:val="22"/>
          <w:szCs w:val="22"/>
        </w:rPr>
        <w:t xml:space="preserve"> </w:t>
      </w:r>
      <w:r w:rsidR="00493BAB" w:rsidRPr="00F564B2">
        <w:rPr>
          <w:rFonts w:ascii="GHEA Grapalat" w:hAnsi="GHEA Grapalat"/>
          <w:sz w:val="22"/>
          <w:szCs w:val="22"/>
        </w:rPr>
        <w:t>1</w:t>
      </w:r>
      <w:r w:rsidRPr="00345A1C">
        <w:rPr>
          <w:rFonts w:ascii="GHEA Grapalat" w:hAnsi="GHEA Grapalat"/>
          <w:sz w:val="22"/>
          <w:szCs w:val="22"/>
        </w:rPr>
        <w:t>%</w:t>
      </w:r>
      <w:r>
        <w:rPr>
          <w:rFonts w:ascii="GHEA Grapalat" w:hAnsi="GHEA Grapalat"/>
          <w:sz w:val="22"/>
          <w:szCs w:val="22"/>
        </w:rPr>
        <w:t>։ ՌԴ-ում գրանցված թույլ աճը պայմանավորված է եղել ներդրումների և արտահանման կրճատմամբ, նավթի ցածր գներով, ինչպես նաև ռուբլու դիրքի ամրապնդմամբ</w:t>
      </w:r>
      <w:r w:rsidRPr="002565D5">
        <w:rPr>
          <w:rFonts w:ascii="GHEA Grapalat" w:hAnsi="GHEA Grapalat"/>
          <w:sz w:val="22"/>
          <w:szCs w:val="22"/>
        </w:rPr>
        <w:t xml:space="preserve">: </w:t>
      </w:r>
      <w:r>
        <w:rPr>
          <w:rFonts w:ascii="GHEA Grapalat" w:hAnsi="GHEA Grapalat"/>
          <w:sz w:val="22"/>
          <w:szCs w:val="22"/>
        </w:rPr>
        <w:t>Արտահանման ծավալների կրճատումն, իր հերթին, պայմանավորված է եղել եվրոպական պատժամիջոցների հետևանքով բնական գազի արտահանման ծավալների կրճատմամբ, ինչպես նաև դեպի Չինաստան արտահանման ծավալների կտրուկ նվազմամբ:</w:t>
      </w:r>
    </w:p>
    <w:p w14:paraId="2B4CD918" w14:textId="77777777" w:rsidR="0013449A" w:rsidRPr="00673E4C" w:rsidRDefault="0013449A" w:rsidP="0013449A">
      <w:pPr>
        <w:spacing w:line="276" w:lineRule="auto"/>
        <w:jc w:val="both"/>
        <w:rPr>
          <w:rFonts w:ascii="GHEA Grapalat" w:hAnsi="GHEA Grapalat" w:cs="Sylfaen"/>
          <w:b/>
          <w:sz w:val="18"/>
          <w:szCs w:val="18"/>
        </w:rPr>
      </w:pPr>
      <w:r w:rsidRPr="00673E4C">
        <w:rPr>
          <w:rFonts w:ascii="GHEA Grapalat" w:hAnsi="GHEA Grapalat" w:cs="Sylfaen"/>
          <w:b/>
          <w:sz w:val="18"/>
          <w:szCs w:val="18"/>
        </w:rPr>
        <w:lastRenderedPageBreak/>
        <w:t>Գծապատկեր 1. Գործընկեր երկրների տնտեսական աճեր, %</w:t>
      </w:r>
    </w:p>
    <w:p w14:paraId="03AEBF1D" w14:textId="289B2837" w:rsidR="00F04D21" w:rsidRPr="00345A1C" w:rsidRDefault="00F757FE" w:rsidP="00825B54">
      <w:pPr>
        <w:keepNext/>
        <w:keepLines/>
        <w:autoSpaceDE w:val="0"/>
        <w:autoSpaceDN w:val="0"/>
        <w:adjustRightInd w:val="0"/>
        <w:spacing w:line="276" w:lineRule="auto"/>
        <w:contextualSpacing/>
        <w:jc w:val="both"/>
        <w:rPr>
          <w:rFonts w:ascii="GHEA Grapalat" w:hAnsi="GHEA Grapalat" w:cs="Sylfaen"/>
          <w:sz w:val="22"/>
          <w:szCs w:val="22"/>
        </w:rPr>
      </w:pPr>
      <w:r w:rsidRPr="00345A1C">
        <w:rPr>
          <w:rFonts w:ascii="GHEA Grapalat" w:hAnsi="GHEA Grapalat"/>
          <w:sz w:val="22"/>
          <w:lang w:val="en-US"/>
        </w:rPr>
        <w:drawing>
          <wp:inline distT="0" distB="0" distL="0" distR="0" wp14:anchorId="636298B3" wp14:editId="5888F93F">
            <wp:extent cx="6480810" cy="1772573"/>
            <wp:effectExtent l="0" t="0" r="15240" b="18415"/>
            <wp:docPr id="6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287FD61" w14:textId="1AFADD93" w:rsidR="00F04D21" w:rsidRPr="00BC2C75" w:rsidRDefault="00F04D21" w:rsidP="00F757FE">
      <w:pPr>
        <w:spacing w:after="240"/>
        <w:jc w:val="both"/>
        <w:rPr>
          <w:rFonts w:ascii="GHEA Grapalat" w:hAnsi="GHEA Grapalat"/>
          <w:i/>
          <w:sz w:val="16"/>
          <w:szCs w:val="16"/>
        </w:rPr>
      </w:pPr>
      <w:r w:rsidRPr="00BC2C75">
        <w:rPr>
          <w:rFonts w:ascii="GHEA Grapalat" w:hAnsi="GHEA Grapalat"/>
          <w:i/>
          <w:sz w:val="16"/>
          <w:szCs w:val="16"/>
        </w:rPr>
        <w:t>Աղբյուրը՝ ԱՄՆ տնտեսական վերլուծությունների բյուրո, Եվրոստատ, Չինաստանի վիճակագրության ազգային բյուրո,</w:t>
      </w:r>
      <w:r w:rsidR="000A188F" w:rsidRPr="00D874F0">
        <w:rPr>
          <w:rFonts w:ascii="GHEA Grapalat" w:hAnsi="GHEA Grapalat"/>
          <w:i/>
          <w:sz w:val="16"/>
          <w:szCs w:val="16"/>
        </w:rPr>
        <w:t xml:space="preserve"> </w:t>
      </w:r>
      <w:r w:rsidRPr="00BC2C75">
        <w:rPr>
          <w:rFonts w:ascii="GHEA Grapalat" w:hAnsi="GHEA Grapalat"/>
          <w:i/>
          <w:sz w:val="16"/>
          <w:szCs w:val="16"/>
        </w:rPr>
        <w:t>ՌԴ տնտեսական զարգացման նախարարություն</w:t>
      </w:r>
    </w:p>
    <w:p w14:paraId="352B6E8F" w14:textId="5602A60A" w:rsidR="00F757FE" w:rsidRDefault="00A75437" w:rsidP="00F757FE">
      <w:pPr>
        <w:spacing w:line="276" w:lineRule="auto"/>
        <w:ind w:firstLine="567"/>
        <w:jc w:val="both"/>
        <w:rPr>
          <w:rFonts w:ascii="GHEA Grapalat" w:hAnsi="GHEA Grapalat" w:cs="GHEA Grapalat"/>
          <w:sz w:val="22"/>
          <w:szCs w:val="22"/>
        </w:rPr>
      </w:pPr>
      <w:r w:rsidRPr="005F198D">
        <w:rPr>
          <w:rFonts w:ascii="GHEA Grapalat" w:hAnsi="GHEA Grapalat" w:cs="GHEA Grapalat"/>
          <w:sz w:val="22"/>
          <w:szCs w:val="22"/>
        </w:rPr>
        <w:t>2025</w:t>
      </w:r>
      <w:r>
        <w:rPr>
          <w:rFonts w:ascii="GHEA Grapalat" w:hAnsi="GHEA Grapalat" w:cs="GHEA Grapalat"/>
          <w:sz w:val="22"/>
          <w:szCs w:val="22"/>
        </w:rPr>
        <w:t>թ. ընթացքում գործընկեր երկրների կենտրոնական բանկերն աստիճանաբար նվազեցրել են դրամավարկային քաղաքականության տոկոսադրույքները. չնայած դրան</w:t>
      </w:r>
      <w:r w:rsidR="00F92DAE" w:rsidRPr="00B06C86">
        <w:rPr>
          <w:rFonts w:ascii="GHEA Grapalat" w:hAnsi="GHEA Grapalat" w:cs="GHEA Grapalat"/>
          <w:sz w:val="22"/>
          <w:szCs w:val="22"/>
        </w:rPr>
        <w:t>՝</w:t>
      </w:r>
      <w:r>
        <w:rPr>
          <w:rFonts w:ascii="GHEA Grapalat" w:hAnsi="GHEA Grapalat" w:cs="GHEA Grapalat"/>
          <w:sz w:val="22"/>
          <w:szCs w:val="22"/>
        </w:rPr>
        <w:t xml:space="preserve"> քաղաքականության դիրքը շարունակում է մնալ զսպող: ԱՄՆ ԴՊՀ-ն (Դաշնային պահուստային համակարգը</w:t>
      </w:r>
      <w:r w:rsidRPr="00D874F0">
        <w:rPr>
          <w:rFonts w:ascii="GHEA Grapalat" w:hAnsi="GHEA Grapalat" w:cs="GHEA Grapalat"/>
          <w:sz w:val="22"/>
          <w:szCs w:val="22"/>
        </w:rPr>
        <w:t>)</w:t>
      </w:r>
      <w:r>
        <w:rPr>
          <w:rFonts w:ascii="GHEA Grapalat" w:hAnsi="GHEA Grapalat" w:cs="GHEA Grapalat"/>
          <w:sz w:val="22"/>
          <w:szCs w:val="22"/>
        </w:rPr>
        <w:t xml:space="preserve"> տարվա ընթացքում տոկոսադրույքը 4.25-4.5</w:t>
      </w:r>
      <w:r w:rsidRPr="005F198D">
        <w:rPr>
          <w:rFonts w:ascii="GHEA Grapalat" w:hAnsi="GHEA Grapalat" w:cs="GHEA Grapalat"/>
          <w:sz w:val="22"/>
          <w:szCs w:val="22"/>
        </w:rPr>
        <w:t>%</w:t>
      </w:r>
      <w:r>
        <w:rPr>
          <w:rFonts w:ascii="GHEA Grapalat" w:hAnsi="GHEA Grapalat" w:cs="GHEA Grapalat"/>
          <w:sz w:val="22"/>
          <w:szCs w:val="22"/>
        </w:rPr>
        <w:t xml:space="preserve"> միջակայքից</w:t>
      </w:r>
      <w:r w:rsidRPr="00AB51A8">
        <w:rPr>
          <w:rFonts w:ascii="GHEA Grapalat" w:hAnsi="GHEA Grapalat" w:cs="GHEA Grapalat"/>
          <w:sz w:val="22"/>
          <w:szCs w:val="22"/>
        </w:rPr>
        <w:t xml:space="preserve"> </w:t>
      </w:r>
      <w:r>
        <w:rPr>
          <w:rFonts w:ascii="GHEA Grapalat" w:hAnsi="GHEA Grapalat" w:cs="GHEA Grapalat"/>
          <w:sz w:val="22"/>
          <w:szCs w:val="22"/>
        </w:rPr>
        <w:t>աստիճանաբար նվազեցրել է մինչև</w:t>
      </w:r>
      <w:r w:rsidRPr="00AB51A8">
        <w:rPr>
          <w:rFonts w:ascii="GHEA Grapalat" w:hAnsi="GHEA Grapalat" w:cs="GHEA Grapalat"/>
          <w:sz w:val="22"/>
          <w:szCs w:val="22"/>
        </w:rPr>
        <w:t xml:space="preserve"> 3.5-3.75%:</w:t>
      </w:r>
      <w:r w:rsidR="00F757FE" w:rsidRPr="00AB51A8">
        <w:rPr>
          <w:rFonts w:ascii="GHEA Grapalat" w:hAnsi="GHEA Grapalat" w:cs="GHEA Grapalat"/>
          <w:sz w:val="22"/>
          <w:szCs w:val="22"/>
        </w:rPr>
        <w:t xml:space="preserve"> Ե</w:t>
      </w:r>
      <w:r w:rsidR="00F757FE">
        <w:rPr>
          <w:rFonts w:ascii="GHEA Grapalat" w:hAnsi="GHEA Grapalat" w:cs="GHEA Grapalat"/>
          <w:sz w:val="22"/>
          <w:szCs w:val="22"/>
        </w:rPr>
        <w:t>վրոպական կենտրոնական բանկի</w:t>
      </w:r>
      <w:r w:rsidR="00F757FE" w:rsidRPr="00AB51A8">
        <w:rPr>
          <w:rFonts w:ascii="GHEA Grapalat" w:hAnsi="GHEA Grapalat" w:cs="GHEA Grapalat"/>
          <w:sz w:val="22"/>
          <w:szCs w:val="22"/>
        </w:rPr>
        <w:t xml:space="preserve"> կողմից տոկոսադրույքն ավելի արագ տեմպերով է նվազեցվել. տարեսկզբի 3.15% մակարդակից նվազեցվել է և հունիսից պահպանվել է 2.15% մակարդակում</w:t>
      </w:r>
      <w:r w:rsidR="00F92DAE">
        <w:rPr>
          <w:rFonts w:ascii="GHEA Grapalat" w:hAnsi="GHEA Grapalat" w:cs="GHEA Grapalat"/>
          <w:sz w:val="22"/>
          <w:szCs w:val="22"/>
        </w:rPr>
        <w:t>: ՌԴ կենտրոնական բանկի կողմից</w:t>
      </w:r>
      <w:r w:rsidR="00F757FE">
        <w:rPr>
          <w:rFonts w:ascii="GHEA Grapalat" w:hAnsi="GHEA Grapalat" w:cs="GHEA Grapalat"/>
          <w:sz w:val="22"/>
          <w:szCs w:val="22"/>
        </w:rPr>
        <w:t xml:space="preserve"> հատկապես տարվա երկրորդ կեսին իրականացված ավելի կտրուկ նվազեցումների արդյունքում</w:t>
      </w:r>
      <w:r w:rsidR="00F92DAE" w:rsidRPr="00B06C86">
        <w:rPr>
          <w:rFonts w:ascii="GHEA Grapalat" w:hAnsi="GHEA Grapalat" w:cs="GHEA Grapalat"/>
          <w:sz w:val="22"/>
          <w:szCs w:val="22"/>
        </w:rPr>
        <w:t xml:space="preserve"> տոկոսադրույքը</w:t>
      </w:r>
      <w:r w:rsidR="00F757FE">
        <w:rPr>
          <w:rFonts w:ascii="GHEA Grapalat" w:hAnsi="GHEA Grapalat" w:cs="GHEA Grapalat"/>
          <w:sz w:val="22"/>
          <w:szCs w:val="22"/>
        </w:rPr>
        <w:t xml:space="preserve"> տար</w:t>
      </w:r>
      <w:r w:rsidR="00C10D9E">
        <w:rPr>
          <w:rFonts w:ascii="GHEA Grapalat" w:hAnsi="GHEA Grapalat" w:cs="GHEA Grapalat"/>
          <w:sz w:val="22"/>
          <w:szCs w:val="22"/>
        </w:rPr>
        <w:t>ե</w:t>
      </w:r>
      <w:r w:rsidR="00F757FE">
        <w:rPr>
          <w:rFonts w:ascii="GHEA Grapalat" w:hAnsi="GHEA Grapalat" w:cs="GHEA Grapalat"/>
          <w:sz w:val="22"/>
          <w:szCs w:val="22"/>
        </w:rPr>
        <w:t>սկզբի 21</w:t>
      </w:r>
      <w:r w:rsidR="00F757FE" w:rsidRPr="00E43D83">
        <w:rPr>
          <w:rFonts w:ascii="GHEA Grapalat" w:hAnsi="GHEA Grapalat" w:cs="GHEA Grapalat"/>
          <w:sz w:val="22"/>
          <w:szCs w:val="22"/>
        </w:rPr>
        <w:t>%</w:t>
      </w:r>
      <w:r w:rsidR="00F757FE">
        <w:rPr>
          <w:rFonts w:ascii="GHEA Grapalat" w:hAnsi="GHEA Grapalat" w:cs="GHEA Grapalat"/>
          <w:sz w:val="22"/>
          <w:szCs w:val="22"/>
        </w:rPr>
        <w:t xml:space="preserve"> մակարդակից տարեվերջին հասել է 16</w:t>
      </w:r>
      <w:r w:rsidR="00F757FE" w:rsidRPr="00E43D83">
        <w:rPr>
          <w:rFonts w:ascii="GHEA Grapalat" w:hAnsi="GHEA Grapalat" w:cs="GHEA Grapalat"/>
          <w:sz w:val="22"/>
          <w:szCs w:val="22"/>
        </w:rPr>
        <w:t>%</w:t>
      </w:r>
      <w:r w:rsidR="00F757FE">
        <w:rPr>
          <w:rFonts w:ascii="GHEA Grapalat" w:hAnsi="GHEA Grapalat" w:cs="GHEA Grapalat"/>
          <w:sz w:val="22"/>
          <w:szCs w:val="22"/>
        </w:rPr>
        <w:t>-ի: Նշված երկրների կենտրոնական բանկերի կողմից քաղաքականության աստիճանական մեղմացումն առավելապես պայմանավորված է եղել գնաճային ճնշումների թուլացմամբ: Տնտեսական ակտիվությունը խթանելու նպատակով Չինաստանի ազգային բանկը քաղաքականության տոկոսադրույքը հունիսին նվազեցրել է 0.1 տոկոսային կետով և մինչև տարեվերջ պահպանել սահմանված 3</w:t>
      </w:r>
      <w:r w:rsidR="00F757FE" w:rsidRPr="00E43D83">
        <w:rPr>
          <w:rFonts w:ascii="GHEA Grapalat" w:hAnsi="GHEA Grapalat" w:cs="GHEA Grapalat"/>
          <w:sz w:val="22"/>
          <w:szCs w:val="22"/>
        </w:rPr>
        <w:t xml:space="preserve">% </w:t>
      </w:r>
      <w:r w:rsidR="00F92DAE">
        <w:rPr>
          <w:rFonts w:ascii="GHEA Grapalat" w:hAnsi="GHEA Grapalat" w:cs="GHEA Grapalat"/>
          <w:sz w:val="22"/>
          <w:szCs w:val="22"/>
        </w:rPr>
        <w:t>մակարդակում:</w:t>
      </w:r>
    </w:p>
    <w:p w14:paraId="7F3D672C" w14:textId="082FE2E7" w:rsidR="00F92DAE" w:rsidRDefault="00F92DAE" w:rsidP="00F757FE">
      <w:pPr>
        <w:spacing w:line="276" w:lineRule="auto"/>
        <w:ind w:firstLine="567"/>
        <w:jc w:val="both"/>
        <w:rPr>
          <w:rFonts w:ascii="GHEA Grapalat" w:hAnsi="GHEA Grapalat" w:cs="GHEA Grapalat"/>
          <w:sz w:val="22"/>
          <w:szCs w:val="22"/>
        </w:rPr>
      </w:pPr>
    </w:p>
    <w:p w14:paraId="594E27C1" w14:textId="77777777" w:rsidR="0013449A" w:rsidRPr="00673E4C" w:rsidRDefault="0013449A" w:rsidP="0013449A">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sidRPr="00673E4C">
        <w:rPr>
          <w:rFonts w:ascii="GHEA Grapalat" w:hAnsi="GHEA Grapalat" w:cs="Sylfaen"/>
          <w:b/>
          <w:sz w:val="18"/>
          <w:szCs w:val="18"/>
        </w:rPr>
        <w:t>Գծապատկեր 2. Գնաճն ու դրամավարկային քաղաքականության արձագանքը գործընկեր երկրներում</w:t>
      </w:r>
      <w:r w:rsidRPr="00673E4C">
        <w:rPr>
          <w:rFonts w:ascii="GHEA Grapalat" w:hAnsi="GHEA Grapalat" w:cs="Sylfaen"/>
          <w:b/>
          <w:sz w:val="18"/>
          <w:szCs w:val="18"/>
          <w:vertAlign w:val="superscript"/>
        </w:rPr>
        <w:footnoteReference w:id="5"/>
      </w:r>
    </w:p>
    <w:tbl>
      <w:tblPr>
        <w:tblW w:w="10208" w:type="dxa"/>
        <w:jc w:val="center"/>
        <w:tblLook w:val="04A0" w:firstRow="1" w:lastRow="0" w:firstColumn="1" w:lastColumn="0" w:noHBand="0" w:noVBand="1"/>
      </w:tblPr>
      <w:tblGrid>
        <w:gridCol w:w="10208"/>
      </w:tblGrid>
      <w:tr w:rsidR="00F04D21" w:rsidRPr="00345A1C" w14:paraId="4B1701F7" w14:textId="77777777" w:rsidTr="0013449A">
        <w:trPr>
          <w:trHeight w:val="2763"/>
          <w:jc w:val="center"/>
        </w:trPr>
        <w:tc>
          <w:tcPr>
            <w:tcW w:w="10208" w:type="dxa"/>
          </w:tcPr>
          <w:p w14:paraId="21BE3FB3" w14:textId="11DC739E" w:rsidR="00F04D21" w:rsidRPr="00345A1C" w:rsidRDefault="00F757FE" w:rsidP="008063FB">
            <w:pPr>
              <w:spacing w:line="276" w:lineRule="auto"/>
              <w:ind w:left="-105"/>
              <w:jc w:val="both"/>
              <w:rPr>
                <w:rFonts w:ascii="GHEA Grapalat" w:hAnsi="GHEA Grapalat"/>
                <w:b/>
                <w:sz w:val="22"/>
              </w:rPr>
            </w:pPr>
            <w:r w:rsidRPr="00345A1C">
              <w:rPr>
                <w:rFonts w:ascii="GHEA Grapalat" w:hAnsi="GHEA Grapalat"/>
                <w:b/>
                <w:sz w:val="22"/>
                <w:lang w:val="en-US"/>
              </w:rPr>
              <w:drawing>
                <wp:inline distT="0" distB="0" distL="0" distR="0" wp14:anchorId="24BA71ED" wp14:editId="5530123F">
                  <wp:extent cx="3110865" cy="1860550"/>
                  <wp:effectExtent l="0" t="0" r="13335" b="6350"/>
                  <wp:docPr id="1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1F7D66" w:rsidRPr="00904F9A">
              <w:rPr>
                <w:rFonts w:ascii="GHEA Grapalat" w:hAnsi="GHEA Grapalat"/>
                <w:b/>
                <w:sz w:val="22"/>
              </w:rPr>
              <w:t xml:space="preserve"> </w:t>
            </w:r>
            <w:r w:rsidR="00C806BA" w:rsidRPr="00904F9A">
              <w:rPr>
                <w:rFonts w:ascii="GHEA Grapalat" w:hAnsi="GHEA Grapalat"/>
                <w:b/>
                <w:sz w:val="22"/>
              </w:rPr>
              <w:t xml:space="preserve">    </w:t>
            </w:r>
            <w:r w:rsidRPr="00345A1C">
              <w:rPr>
                <w:rFonts w:ascii="GHEA Grapalat" w:hAnsi="GHEA Grapalat"/>
                <w:b/>
                <w:sz w:val="22"/>
                <w:lang w:val="en-US"/>
              </w:rPr>
              <w:drawing>
                <wp:inline distT="0" distB="0" distL="0" distR="0" wp14:anchorId="514C2C25" wp14:editId="42C9EEF2">
                  <wp:extent cx="3099460" cy="1857375"/>
                  <wp:effectExtent l="0" t="0" r="5715" b="9525"/>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00F04D21" w:rsidRPr="00345A1C">
              <w:rPr>
                <w:rFonts w:ascii="GHEA Grapalat" w:hAnsi="GHEA Grapalat"/>
                <w:b/>
                <w:sz w:val="22"/>
                <w:lang w:val="en-US"/>
              </w:rPr>
              <w:drawing>
                <wp:inline distT="0" distB="0" distL="0" distR="0" wp14:anchorId="7F94B0D5" wp14:editId="58736D53">
                  <wp:extent cx="6448425" cy="219710"/>
                  <wp:effectExtent l="0" t="0" r="9525" b="8890"/>
                  <wp:docPr id="3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A9E6F0D" w14:textId="77777777" w:rsidR="00F04D21" w:rsidRPr="00345A1C" w:rsidRDefault="00F04D21" w:rsidP="002938A9">
            <w:pPr>
              <w:spacing w:line="276" w:lineRule="auto"/>
              <w:ind w:left="-105"/>
              <w:jc w:val="both"/>
              <w:rPr>
                <w:rFonts w:ascii="GHEA Grapalat" w:hAnsi="GHEA Grapalat"/>
                <w:i/>
                <w:sz w:val="16"/>
                <w:szCs w:val="16"/>
              </w:rPr>
            </w:pPr>
            <w:r w:rsidRPr="00345A1C">
              <w:rPr>
                <w:rFonts w:ascii="GHEA Grapalat" w:hAnsi="GHEA Grapalat"/>
                <w:i/>
                <w:sz w:val="16"/>
                <w:szCs w:val="16"/>
              </w:rPr>
              <w:t>Աղբյուրը՝ ԱՄՆ ԴՊՀ, ԵԿԲ, Չինաստանի ժողովրդական բանկ, ՌԴ ԿԲ</w:t>
            </w:r>
          </w:p>
        </w:tc>
      </w:tr>
    </w:tbl>
    <w:p w14:paraId="6945B6AF" w14:textId="77777777" w:rsidR="002938A9" w:rsidRPr="002938A9" w:rsidRDefault="002938A9" w:rsidP="00F757FE">
      <w:pPr>
        <w:spacing w:line="276" w:lineRule="auto"/>
        <w:ind w:firstLine="562"/>
        <w:contextualSpacing/>
        <w:jc w:val="both"/>
        <w:rPr>
          <w:rFonts w:ascii="GHEA Grapalat" w:hAnsi="GHEA Grapalat"/>
          <w:sz w:val="22"/>
        </w:rPr>
      </w:pPr>
    </w:p>
    <w:p w14:paraId="5280ECE4" w14:textId="3500583C" w:rsidR="00F757FE" w:rsidRPr="00727A75" w:rsidRDefault="00F04D21" w:rsidP="00F757FE">
      <w:pPr>
        <w:spacing w:line="276" w:lineRule="auto"/>
        <w:ind w:firstLine="562"/>
        <w:contextualSpacing/>
        <w:jc w:val="both"/>
        <w:rPr>
          <w:rFonts w:ascii="GHEA Grapalat" w:hAnsi="GHEA Grapalat"/>
          <w:sz w:val="22"/>
        </w:rPr>
      </w:pPr>
      <w:r w:rsidRPr="00345A1C">
        <w:rPr>
          <w:rFonts w:ascii="GHEA Grapalat" w:hAnsi="GHEA Grapalat"/>
          <w:b/>
          <w:i/>
          <w:iCs/>
          <w:sz w:val="22"/>
        </w:rPr>
        <w:lastRenderedPageBreak/>
        <w:t>Միջազգային գներ</w:t>
      </w:r>
      <w:r w:rsidRPr="00345A1C">
        <w:rPr>
          <w:rFonts w:ascii="GHEA Grapalat" w:hAnsi="GHEA Grapalat"/>
          <w:b/>
          <w:i/>
          <w:iCs/>
          <w:sz w:val="22"/>
          <w:vertAlign w:val="superscript"/>
        </w:rPr>
        <w:footnoteReference w:id="6"/>
      </w:r>
      <w:r w:rsidRPr="00345A1C">
        <w:rPr>
          <w:rFonts w:ascii="GHEA Grapalat" w:hAnsi="GHEA Grapalat"/>
          <w:b/>
          <w:sz w:val="22"/>
        </w:rPr>
        <w:t>:</w:t>
      </w:r>
      <w:r w:rsidR="00CA6DDB">
        <w:rPr>
          <w:rFonts w:ascii="GHEA Grapalat" w:hAnsi="GHEA Grapalat"/>
          <w:sz w:val="22"/>
        </w:rPr>
        <w:t xml:space="preserve"> </w:t>
      </w:r>
      <w:r w:rsidR="00F757FE" w:rsidRPr="00727A75">
        <w:rPr>
          <w:rFonts w:ascii="GHEA Grapalat" w:hAnsi="GHEA Grapalat"/>
          <w:sz w:val="22"/>
        </w:rPr>
        <w:t>2025թ. համեմատաբար թույլ պահանջարկը և առաջարկի էական աճը հանգեցրել են նավթի գների անկման, մինչդեռ պղնձի գների աճ է գրանցվել՝ պայմանավորված աճող պահանջարկով և սահմանափակ առաջարկով:</w:t>
      </w:r>
    </w:p>
    <w:p w14:paraId="370CBD5F" w14:textId="77777777" w:rsidR="00F757FE" w:rsidRPr="000F087F" w:rsidRDefault="00F757FE" w:rsidP="00F757FE">
      <w:pPr>
        <w:spacing w:line="276" w:lineRule="auto"/>
        <w:ind w:firstLine="562"/>
        <w:contextualSpacing/>
        <w:jc w:val="both"/>
        <w:rPr>
          <w:rFonts w:ascii="GHEA Grapalat" w:hAnsi="GHEA Grapalat"/>
          <w:color w:val="FF0000"/>
          <w:sz w:val="22"/>
        </w:rPr>
      </w:pPr>
      <w:r>
        <w:rPr>
          <w:rFonts w:ascii="GHEA Grapalat" w:hAnsi="GHEA Grapalat"/>
          <w:sz w:val="22"/>
        </w:rPr>
        <w:t>Նավթի միջազգային գինը 2025</w:t>
      </w:r>
      <w:r w:rsidRPr="00345A1C">
        <w:rPr>
          <w:rFonts w:ascii="GHEA Grapalat" w:hAnsi="GHEA Grapalat"/>
          <w:sz w:val="22"/>
        </w:rPr>
        <w:t>թ</w:t>
      </w:r>
      <w:r>
        <w:rPr>
          <w:rFonts w:ascii="GHEA Grapalat" w:hAnsi="GHEA Grapalat"/>
          <w:sz w:val="22"/>
        </w:rPr>
        <w:t>.</w:t>
      </w:r>
      <w:r w:rsidRPr="00345A1C">
        <w:rPr>
          <w:rFonts w:ascii="GHEA Grapalat" w:hAnsi="GHEA Grapalat"/>
          <w:sz w:val="22"/>
        </w:rPr>
        <w:t xml:space="preserve"> կազմել է </w:t>
      </w:r>
      <w:r>
        <w:rPr>
          <w:rFonts w:ascii="GHEA Grapalat" w:hAnsi="GHEA Grapalat"/>
          <w:sz w:val="22"/>
        </w:rPr>
        <w:t>69</w:t>
      </w:r>
      <w:r w:rsidRPr="00345A1C">
        <w:rPr>
          <w:rFonts w:ascii="GHEA Grapalat" w:hAnsi="GHEA Grapalat"/>
          <w:sz w:val="22"/>
        </w:rPr>
        <w:t xml:space="preserve"> դոլար մեկ բարելի դիմաց՝ նախորդ տարվա նկատմամբ նվազելով </w:t>
      </w:r>
      <w:r>
        <w:rPr>
          <w:rFonts w:ascii="GHEA Grapalat" w:hAnsi="GHEA Grapalat"/>
          <w:sz w:val="22"/>
        </w:rPr>
        <w:t>14.5</w:t>
      </w:r>
      <w:r w:rsidRPr="00345A1C">
        <w:rPr>
          <w:rFonts w:ascii="GHEA Grapalat" w:hAnsi="GHEA Grapalat"/>
          <w:sz w:val="22"/>
        </w:rPr>
        <w:t xml:space="preserve">%-ով: </w:t>
      </w:r>
      <w:r>
        <w:rPr>
          <w:rFonts w:ascii="GHEA Grapalat" w:hAnsi="GHEA Grapalat"/>
          <w:sz w:val="22"/>
        </w:rPr>
        <w:t>Ն</w:t>
      </w:r>
      <w:r w:rsidRPr="008B64C2">
        <w:rPr>
          <w:rFonts w:ascii="GHEA Grapalat" w:hAnsi="GHEA Grapalat"/>
          <w:sz w:val="22"/>
        </w:rPr>
        <w:t xml:space="preserve">ավթի գների նվազումը պայմանավորող գործոններն են եղել ՕՊԵԿ+ երկրների կողմից արտադրության և արդյունահանման կրճատման պահանջի մեղմացումը, </w:t>
      </w:r>
      <w:r w:rsidRPr="000F087F">
        <w:rPr>
          <w:rFonts w:ascii="GHEA Grapalat" w:hAnsi="GHEA Grapalat"/>
          <w:sz w:val="22"/>
        </w:rPr>
        <w:t xml:space="preserve">ինչպես նաև ոչ ՕՊԵԿ+ երկրների կողմից առաջարկի աճը, խոշոր տնտեսությունների պահանջարկի դանդաղումը, առևտրային լարվածության արդյունքում ձևավորված անորոշությունները: </w:t>
      </w:r>
    </w:p>
    <w:p w14:paraId="7EC9B77B" w14:textId="34978EC5" w:rsidR="00F757FE" w:rsidRPr="000F087F" w:rsidRDefault="00F757FE" w:rsidP="00F757FE">
      <w:pPr>
        <w:spacing w:line="276" w:lineRule="auto"/>
        <w:ind w:firstLine="562"/>
        <w:contextualSpacing/>
        <w:jc w:val="both"/>
        <w:rPr>
          <w:rFonts w:ascii="GHEA Grapalat" w:hAnsi="GHEA Grapalat"/>
          <w:sz w:val="22"/>
        </w:rPr>
      </w:pPr>
      <w:r w:rsidRPr="000F087F">
        <w:rPr>
          <w:rFonts w:ascii="GHEA Grapalat" w:hAnsi="GHEA Grapalat"/>
          <w:sz w:val="22"/>
        </w:rPr>
        <w:t>Պղնձի միջազգային գինը 2025թ. նախորդ տարվա համեմատ աճել է 8.8%-ով՝ կազմելով 9,947 ԱՄՆ դոլար մեկ տոննայի դիմաց։ Պղնձի միջազգային գնի զգալի աճը պայմանավորված է եղել խտանյութի առաջարկի կրճատմամբ, կանաչ էներգիայի անցման և դրա հետևանքով էներգետիկ ոլորտում առկա պահանջարկով, դոլարի դիրքի թուլացմամբ, ինչպես նաև առևտրային քաղաքականության անորոշություններով:</w:t>
      </w:r>
    </w:p>
    <w:p w14:paraId="122F41F3" w14:textId="7149C04E" w:rsidR="00A75437" w:rsidRDefault="00A75437" w:rsidP="00A75437">
      <w:pPr>
        <w:spacing w:after="240" w:line="276" w:lineRule="auto"/>
        <w:ind w:firstLine="567"/>
        <w:contextualSpacing/>
        <w:jc w:val="both"/>
        <w:rPr>
          <w:rFonts w:ascii="GHEA Grapalat" w:hAnsi="GHEA Grapalat"/>
          <w:sz w:val="22"/>
        </w:rPr>
      </w:pPr>
      <w:r w:rsidRPr="00345A1C">
        <w:rPr>
          <w:rFonts w:ascii="GHEA Grapalat" w:hAnsi="GHEA Grapalat"/>
          <w:sz w:val="22"/>
        </w:rPr>
        <w:t>Պարենի միջազգային գինը</w:t>
      </w:r>
      <w:r w:rsidRPr="00345A1C">
        <w:rPr>
          <w:rFonts w:ascii="GHEA Grapalat" w:hAnsi="GHEA Grapalat"/>
          <w:sz w:val="22"/>
          <w:szCs w:val="22"/>
          <w:vertAlign w:val="superscript"/>
        </w:rPr>
        <w:footnoteReference w:id="7"/>
      </w:r>
      <w:r>
        <w:rPr>
          <w:rFonts w:ascii="GHEA Grapalat" w:hAnsi="GHEA Grapalat"/>
          <w:sz w:val="22"/>
        </w:rPr>
        <w:t xml:space="preserve"> 2025</w:t>
      </w:r>
      <w:r w:rsidRPr="00345A1C">
        <w:rPr>
          <w:rFonts w:ascii="GHEA Grapalat" w:hAnsi="GHEA Grapalat"/>
          <w:sz w:val="22"/>
        </w:rPr>
        <w:t>թ</w:t>
      </w:r>
      <w:r>
        <w:rPr>
          <w:rFonts w:ascii="GHEA Grapalat" w:hAnsi="GHEA Grapalat"/>
          <w:sz w:val="22"/>
        </w:rPr>
        <w:t>.</w:t>
      </w:r>
      <w:r w:rsidRPr="00345A1C">
        <w:rPr>
          <w:rFonts w:ascii="GHEA Grapalat" w:hAnsi="GHEA Grapalat"/>
          <w:sz w:val="22"/>
        </w:rPr>
        <w:t xml:space="preserve"> նախորդ տարվա համեմատ </w:t>
      </w:r>
      <w:r>
        <w:rPr>
          <w:rFonts w:ascii="GHEA Grapalat" w:hAnsi="GHEA Grapalat"/>
          <w:sz w:val="22"/>
        </w:rPr>
        <w:t>աճել</w:t>
      </w:r>
      <w:r w:rsidRPr="00345A1C">
        <w:rPr>
          <w:rFonts w:ascii="GHEA Grapalat" w:hAnsi="GHEA Grapalat"/>
          <w:sz w:val="22"/>
        </w:rPr>
        <w:t xml:space="preserve"> է </w:t>
      </w:r>
      <w:r>
        <w:rPr>
          <w:rFonts w:ascii="GHEA Grapalat" w:hAnsi="GHEA Grapalat"/>
          <w:sz w:val="22"/>
        </w:rPr>
        <w:t>4.3</w:t>
      </w:r>
      <w:r w:rsidRPr="00345A1C">
        <w:rPr>
          <w:rFonts w:ascii="GHEA Grapalat" w:hAnsi="GHEA Grapalat"/>
          <w:sz w:val="22"/>
        </w:rPr>
        <w:t xml:space="preserve">%-ով՝ </w:t>
      </w:r>
      <w:r>
        <w:rPr>
          <w:rFonts w:ascii="GHEA Grapalat" w:hAnsi="GHEA Grapalat"/>
          <w:sz w:val="22"/>
        </w:rPr>
        <w:t xml:space="preserve">պայմանավորված </w:t>
      </w:r>
      <w:r w:rsidRPr="00727A75">
        <w:rPr>
          <w:rFonts w:ascii="GHEA Grapalat" w:hAnsi="GHEA Grapalat"/>
          <w:sz w:val="22"/>
        </w:rPr>
        <w:t>պահանջարկի աճ</w:t>
      </w:r>
      <w:r>
        <w:rPr>
          <w:rFonts w:ascii="GHEA Grapalat" w:hAnsi="GHEA Grapalat"/>
          <w:sz w:val="22"/>
        </w:rPr>
        <w:t>ի</w:t>
      </w:r>
      <w:r w:rsidRPr="00727A75">
        <w:rPr>
          <w:rFonts w:ascii="GHEA Grapalat" w:hAnsi="GHEA Grapalat"/>
          <w:sz w:val="22"/>
        </w:rPr>
        <w:t xml:space="preserve"> և </w:t>
      </w:r>
      <w:r>
        <w:rPr>
          <w:rFonts w:ascii="GHEA Grapalat" w:hAnsi="GHEA Grapalat"/>
          <w:sz w:val="22"/>
        </w:rPr>
        <w:t>առաջարկի կրճատման հետևանքով</w:t>
      </w:r>
      <w:r w:rsidRPr="00727A75">
        <w:rPr>
          <w:rFonts w:ascii="GHEA Grapalat" w:hAnsi="GHEA Grapalat"/>
          <w:sz w:val="22"/>
        </w:rPr>
        <w:t xml:space="preserve"> </w:t>
      </w:r>
      <w:r>
        <w:rPr>
          <w:rFonts w:ascii="GHEA Grapalat" w:hAnsi="GHEA Grapalat"/>
          <w:sz w:val="22"/>
        </w:rPr>
        <w:t>կաթնամթերքի, բուսական յուղերի և մսի</w:t>
      </w:r>
      <w:r w:rsidRPr="00345A1C">
        <w:rPr>
          <w:rFonts w:ascii="GHEA Grapalat" w:hAnsi="GHEA Grapalat"/>
          <w:sz w:val="22"/>
        </w:rPr>
        <w:t xml:space="preserve"> գների կտրուկ </w:t>
      </w:r>
      <w:r>
        <w:rPr>
          <w:rFonts w:ascii="GHEA Grapalat" w:hAnsi="GHEA Grapalat"/>
          <w:sz w:val="22"/>
        </w:rPr>
        <w:t>աճով: Առաջարկի աճի հետևանքով շաքարավազի և հացահատիկի գների նվազումը</w:t>
      </w:r>
      <w:r w:rsidRPr="00345A1C">
        <w:rPr>
          <w:rFonts w:ascii="GHEA Grapalat" w:hAnsi="GHEA Grapalat"/>
          <w:sz w:val="22"/>
        </w:rPr>
        <w:t xml:space="preserve"> </w:t>
      </w:r>
      <w:r>
        <w:rPr>
          <w:rFonts w:ascii="GHEA Grapalat" w:hAnsi="GHEA Grapalat"/>
          <w:sz w:val="22"/>
        </w:rPr>
        <w:t>որոշ չափով հակազդել է մյուս ապրանքախմբերում գրանցված գների աճին:</w:t>
      </w:r>
    </w:p>
    <w:p w14:paraId="673E214A" w14:textId="1D1FF358" w:rsidR="00F757FE" w:rsidRDefault="00F757FE" w:rsidP="00094AA9">
      <w:pPr>
        <w:spacing w:line="276" w:lineRule="auto"/>
        <w:ind w:firstLine="567"/>
        <w:contextualSpacing/>
        <w:jc w:val="both"/>
        <w:rPr>
          <w:rFonts w:ascii="GHEA Grapalat" w:hAnsi="GHEA Grapalat"/>
          <w:sz w:val="22"/>
        </w:rPr>
      </w:pPr>
    </w:p>
    <w:p w14:paraId="5322283C" w14:textId="77777777" w:rsidR="0013449A" w:rsidRPr="00673E4C" w:rsidRDefault="0013449A" w:rsidP="0013449A">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Pr>
          <w:rFonts w:ascii="GHEA Grapalat" w:hAnsi="GHEA Grapalat" w:cs="Sylfaen"/>
          <w:b/>
          <w:sz w:val="18"/>
          <w:szCs w:val="18"/>
        </w:rPr>
        <w:t xml:space="preserve">Գծապատկեր </w:t>
      </w:r>
      <w:r w:rsidRPr="00673E4C">
        <w:rPr>
          <w:rFonts w:ascii="GHEA Grapalat" w:hAnsi="GHEA Grapalat" w:cs="Sylfaen"/>
          <w:b/>
          <w:sz w:val="18"/>
          <w:szCs w:val="18"/>
        </w:rPr>
        <w:t>3. Նավթի, պղնձի և պարենի գների զարգացումներ</w:t>
      </w:r>
      <w:r w:rsidRPr="00EE57DA">
        <w:rPr>
          <w:rFonts w:ascii="GHEA Grapalat" w:hAnsi="GHEA Grapalat"/>
          <w:sz w:val="18"/>
          <w:szCs w:val="18"/>
          <w:vertAlign w:val="superscript"/>
        </w:rPr>
        <w:footnoteReference w:id="8"/>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111"/>
      </w:tblGrid>
      <w:tr w:rsidR="00F04D21" w:rsidRPr="00345A1C" w14:paraId="4D5A978C" w14:textId="77777777" w:rsidTr="0013449A">
        <w:trPr>
          <w:trHeight w:val="4079"/>
        </w:trPr>
        <w:tc>
          <w:tcPr>
            <w:tcW w:w="5097" w:type="dxa"/>
          </w:tcPr>
          <w:bookmarkEnd w:id="7"/>
          <w:p w14:paraId="7BF08BD7" w14:textId="791A1803" w:rsidR="00F04D21" w:rsidRPr="00BC2C75" w:rsidRDefault="00F757FE" w:rsidP="00D873A6">
            <w:pPr>
              <w:ind w:left="-105"/>
              <w:rPr>
                <w:rFonts w:ascii="GHEA Grapalat" w:hAnsi="GHEA Grapalat"/>
              </w:rPr>
            </w:pPr>
            <w:r w:rsidRPr="00345A1C">
              <w:rPr>
                <w:rFonts w:ascii="GHEA Grapalat" w:hAnsi="GHEA Grapalat"/>
                <w:b/>
                <w:color w:val="365F91" w:themeColor="accent1" w:themeShade="BF"/>
                <w:sz w:val="26"/>
                <w:szCs w:val="26"/>
                <w:lang w:val="en-US"/>
              </w:rPr>
              <w:drawing>
                <wp:inline distT="0" distB="0" distL="0" distR="0" wp14:anchorId="7F4360F7" wp14:editId="56EBEDD2">
                  <wp:extent cx="3169920" cy="2542032"/>
                  <wp:effectExtent l="0" t="0" r="11430" b="1079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5111" w:type="dxa"/>
          </w:tcPr>
          <w:p w14:paraId="5631BE33" w14:textId="2FD94885" w:rsidR="00F04D21" w:rsidRPr="00BC2C75" w:rsidRDefault="00F757FE" w:rsidP="00DC37FB">
            <w:pPr>
              <w:rPr>
                <w:rFonts w:ascii="GHEA Grapalat" w:hAnsi="GHEA Grapalat"/>
              </w:rPr>
            </w:pPr>
            <w:r w:rsidRPr="00345A1C">
              <w:rPr>
                <w:rFonts w:ascii="GHEA Grapalat" w:hAnsi="GHEA Grapalat"/>
                <w:lang w:val="en-US"/>
              </w:rPr>
              <w:drawing>
                <wp:inline distT="0" distB="0" distL="0" distR="0" wp14:anchorId="3DBFE285" wp14:editId="538EE266">
                  <wp:extent cx="3110865" cy="2552700"/>
                  <wp:effectExtent l="0" t="0" r="1333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F04D21" w:rsidRPr="00345A1C" w14:paraId="5E257558" w14:textId="77777777" w:rsidTr="0013449A">
        <w:trPr>
          <w:trHeight w:val="423"/>
        </w:trPr>
        <w:tc>
          <w:tcPr>
            <w:tcW w:w="5097" w:type="dxa"/>
          </w:tcPr>
          <w:p w14:paraId="2774BAB7" w14:textId="77777777" w:rsidR="00F04D21" w:rsidRPr="00BC2C75" w:rsidRDefault="00F04D21" w:rsidP="00DC37FB">
            <w:pPr>
              <w:rPr>
                <w:rFonts w:ascii="GHEA Grapalat" w:hAnsi="GHEA Grapalat"/>
                <w:sz w:val="16"/>
                <w:szCs w:val="16"/>
              </w:rPr>
            </w:pPr>
            <w:r w:rsidRPr="00345A1C">
              <w:rPr>
                <w:rFonts w:ascii="GHEA Grapalat" w:eastAsia="Calibri" w:hAnsi="GHEA Grapalat"/>
                <w:i/>
                <w:sz w:val="16"/>
                <w:szCs w:val="16"/>
              </w:rPr>
              <w:t>Աղբյուրը՝ Համաշխարհային բանկ</w:t>
            </w:r>
          </w:p>
        </w:tc>
        <w:tc>
          <w:tcPr>
            <w:tcW w:w="5111" w:type="dxa"/>
          </w:tcPr>
          <w:p w14:paraId="442BC4B0" w14:textId="77777777" w:rsidR="00F04D21" w:rsidRPr="00BC2C75" w:rsidRDefault="00F04D21" w:rsidP="00DC37FB">
            <w:pPr>
              <w:rPr>
                <w:rFonts w:ascii="GHEA Grapalat" w:hAnsi="GHEA Grapalat"/>
                <w:sz w:val="16"/>
                <w:szCs w:val="16"/>
              </w:rPr>
            </w:pPr>
            <w:r w:rsidRPr="00345A1C">
              <w:rPr>
                <w:rFonts w:ascii="GHEA Grapalat" w:eastAsia="GHEA Grapalat" w:hAnsi="GHEA Grapalat" w:cs="GHEA Grapalat"/>
                <w:i/>
                <w:sz w:val="16"/>
                <w:szCs w:val="16"/>
              </w:rPr>
              <w:t>Աղբյուրը՝ ՄԱԿ–ի պարենի և գյուղատնտեսության կազմակերպություն</w:t>
            </w:r>
          </w:p>
        </w:tc>
      </w:tr>
      <w:bookmarkEnd w:id="4"/>
      <w:bookmarkEnd w:id="5"/>
      <w:bookmarkEnd w:id="6"/>
    </w:tbl>
    <w:p w14:paraId="5137341B" w14:textId="4B15F4FA" w:rsidR="00F757FE" w:rsidRDefault="00F757FE" w:rsidP="00E13B19">
      <w:pPr>
        <w:spacing w:line="276" w:lineRule="auto"/>
        <w:ind w:firstLine="567"/>
        <w:jc w:val="both"/>
        <w:rPr>
          <w:rFonts w:ascii="GHEA Grapalat" w:eastAsia="GHEA Grapalat" w:hAnsi="GHEA Grapalat" w:cs="GHEA Grapalat"/>
          <w:sz w:val="22"/>
          <w:szCs w:val="22"/>
        </w:rPr>
      </w:pPr>
    </w:p>
    <w:p w14:paraId="2463FA6E" w14:textId="77777777" w:rsidR="00784E97" w:rsidRDefault="00784E97" w:rsidP="00E13B19">
      <w:pPr>
        <w:spacing w:line="276" w:lineRule="auto"/>
        <w:ind w:firstLine="567"/>
        <w:jc w:val="both"/>
        <w:rPr>
          <w:rFonts w:ascii="GHEA Grapalat" w:eastAsia="GHEA Grapalat" w:hAnsi="GHEA Grapalat" w:cs="GHEA Grapalat"/>
          <w:sz w:val="22"/>
          <w:szCs w:val="22"/>
        </w:rPr>
      </w:pPr>
    </w:p>
    <w:p w14:paraId="7C642B84" w14:textId="65B0F86C" w:rsidR="00575C6C" w:rsidRPr="00BD6799" w:rsidRDefault="00575C6C" w:rsidP="008A5C89">
      <w:pPr>
        <w:pStyle w:val="Heading2"/>
        <w:numPr>
          <w:ilvl w:val="2"/>
          <w:numId w:val="10"/>
        </w:numPr>
        <w:spacing w:before="0" w:line="276" w:lineRule="auto"/>
        <w:ind w:left="0" w:firstLine="0"/>
        <w:rPr>
          <w:sz w:val="24"/>
          <w:szCs w:val="24"/>
        </w:rPr>
      </w:pPr>
      <w:r w:rsidRPr="00BD6799">
        <w:rPr>
          <w:sz w:val="24"/>
          <w:szCs w:val="24"/>
        </w:rPr>
        <w:lastRenderedPageBreak/>
        <w:t>ՀՀ մակրոտնտեսական զարգացումներ</w:t>
      </w:r>
    </w:p>
    <w:p w14:paraId="29E65B9E" w14:textId="1A193C3F" w:rsidR="00575C6C" w:rsidRPr="00665DCF" w:rsidRDefault="00575C6C" w:rsidP="001A3265">
      <w:pPr>
        <w:pStyle w:val="Heading4"/>
        <w:numPr>
          <w:ilvl w:val="3"/>
          <w:numId w:val="10"/>
        </w:numPr>
        <w:ind w:left="567" w:firstLine="0"/>
        <w:rPr>
          <w:i w:val="0"/>
        </w:rPr>
      </w:pPr>
      <w:r w:rsidRPr="00665DCF">
        <w:rPr>
          <w:i w:val="0"/>
        </w:rPr>
        <w:t>Համախառն առաջարկ և պահանջարկ</w:t>
      </w:r>
    </w:p>
    <w:p w14:paraId="66975CA2" w14:textId="61DB1F2D" w:rsidR="006426DA" w:rsidRDefault="006426DA" w:rsidP="006426DA">
      <w:pPr>
        <w:spacing w:line="276" w:lineRule="auto"/>
        <w:ind w:firstLine="567"/>
        <w:jc w:val="both"/>
        <w:rPr>
          <w:rFonts w:ascii="GHEA Grapalat" w:eastAsia="GHEA Grapalat" w:hAnsi="GHEA Grapalat" w:cs="GHEA Grapalat"/>
          <w:sz w:val="22"/>
          <w:szCs w:val="22"/>
        </w:rPr>
      </w:pPr>
      <w:r w:rsidRPr="00FD3F1F">
        <w:rPr>
          <w:rFonts w:ascii="GHEA Grapalat" w:eastAsia="GHEA Grapalat" w:hAnsi="GHEA Grapalat" w:cs="GHEA Grapalat"/>
          <w:b/>
          <w:i/>
          <w:sz w:val="22"/>
          <w:szCs w:val="22"/>
        </w:rPr>
        <w:t>Համախառն առաջարկ:</w:t>
      </w:r>
      <w:r w:rsidRPr="00FD3F1F">
        <w:rPr>
          <w:rFonts w:ascii="GHEA Grapalat" w:eastAsia="GHEA Grapalat" w:hAnsi="GHEA Grapalat" w:cs="GHEA Grapalat"/>
          <w:b/>
          <w:sz w:val="22"/>
          <w:szCs w:val="22"/>
        </w:rPr>
        <w:t xml:space="preserve"> </w:t>
      </w:r>
      <w:r w:rsidRPr="00FD3F1F">
        <w:rPr>
          <w:rFonts w:ascii="GHEA Grapalat" w:eastAsia="GHEA Grapalat" w:hAnsi="GHEA Grapalat" w:cs="GHEA Grapalat"/>
          <w:sz w:val="22"/>
          <w:szCs w:val="22"/>
        </w:rPr>
        <w:t>2025թ. չորրորդ եռամսյակում տնտեսական աճի տեմպը կտրուկ արագացել է: Արդյունքում գրանցվել է ՀՆԱ-ի տարեկան 7.2% իրական աճ: Տնտեսական աճը պայմանավորված է եղել հիմնականում ծառայությունների և շինարարության աճով (նպաստումները՝ համապատասխանաբար՝ 3.6 և 1.5 տոկոսային կետեր): Տնտեսության մյուս ճյուղերը ևս աճել են՝ նպաստելով տնտեսական աճին (արդյունաբերություն՝ 0.6 և գյուղատնտեսություն՝ 0.4 տոկոսային կետեր):</w:t>
      </w:r>
    </w:p>
    <w:p w14:paraId="0B19D309" w14:textId="77777777" w:rsidR="004D343C" w:rsidRPr="00FD3F1F" w:rsidRDefault="004D343C" w:rsidP="006426DA">
      <w:pPr>
        <w:spacing w:line="276" w:lineRule="auto"/>
        <w:ind w:firstLine="567"/>
        <w:jc w:val="both"/>
        <w:rPr>
          <w:rFonts w:ascii="GHEA Grapalat" w:eastAsia="GHEA Grapalat" w:hAnsi="GHEA Grapalat" w:cs="GHEA Grapalat"/>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4D343C" w:rsidRPr="00EA2F85" w14:paraId="6921E00F" w14:textId="77777777" w:rsidTr="0026046A">
        <w:trPr>
          <w:trHeight w:val="3846"/>
        </w:trPr>
        <w:tc>
          <w:tcPr>
            <w:tcW w:w="5376" w:type="dxa"/>
          </w:tcPr>
          <w:p w14:paraId="7E8E6E10" w14:textId="77777777" w:rsidR="004D343C" w:rsidRPr="00FD3F1F" w:rsidRDefault="004D343C" w:rsidP="0026046A">
            <w:pPr>
              <w:tabs>
                <w:tab w:val="right" w:pos="0"/>
              </w:tabs>
              <w:spacing w:after="0"/>
              <w:rPr>
                <w:rFonts w:ascii="GHEA Grapalat" w:hAnsi="GHEA Grapalat" w:cs="Sylfaen"/>
                <w:i/>
                <w:sz w:val="22"/>
                <w:szCs w:val="22"/>
              </w:rPr>
            </w:pPr>
            <w:r w:rsidRPr="00FD3F1F">
              <w:rPr>
                <w:rFonts w:ascii="GHEA Grapalat" w:hAnsi="GHEA Grapalat" w:cs="Sylfaen"/>
                <w:b/>
                <w:sz w:val="18"/>
                <w:szCs w:val="18"/>
              </w:rPr>
              <w:t>Գծապատկեր 4. ՀՆԱ-ի իրական աճը (%) և նպաստումները (տ.կ.) նախորդ տարվա նկատմամբ</w:t>
            </w:r>
            <w:r w:rsidRPr="00FD3F1F">
              <w:rPr>
                <w:rFonts w:ascii="GHEA Grapalat" w:hAnsi="GHEA Grapalat"/>
                <w:sz w:val="18"/>
                <w:lang w:val="en-US"/>
              </w:rPr>
              <w:drawing>
                <wp:inline distT="0" distB="0" distL="0" distR="0" wp14:anchorId="539D8893" wp14:editId="5D8D432C">
                  <wp:extent cx="3124200" cy="1809623"/>
                  <wp:effectExtent l="0" t="0" r="0" b="63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92165D5" w14:textId="77777777" w:rsidR="004D343C" w:rsidRPr="00FD3F1F" w:rsidRDefault="004D343C" w:rsidP="0026046A">
            <w:pPr>
              <w:tabs>
                <w:tab w:val="right" w:pos="0"/>
              </w:tabs>
              <w:spacing w:after="60"/>
              <w:contextualSpacing/>
              <w:rPr>
                <w:rStyle w:val="Char0"/>
              </w:rPr>
            </w:pPr>
            <w:r w:rsidRPr="00FD3F1F">
              <w:rPr>
                <w:rFonts w:ascii="GHEA Grapalat" w:hAnsi="GHEA Grapalat"/>
                <w:i/>
                <w:sz w:val="16"/>
                <w:szCs w:val="16"/>
              </w:rPr>
              <w:t>Աղբյուր. ՀՀ վիճակագրական կոմիտե, ՀՀ ՖՆ հաշվարկներ</w:t>
            </w:r>
          </w:p>
        </w:tc>
        <w:tc>
          <w:tcPr>
            <w:tcW w:w="5187" w:type="dxa"/>
          </w:tcPr>
          <w:p w14:paraId="514C6655" w14:textId="77777777" w:rsidR="004D343C" w:rsidRPr="00FD3F1F" w:rsidRDefault="004D343C" w:rsidP="0026046A">
            <w:pPr>
              <w:tabs>
                <w:tab w:val="right" w:pos="0"/>
              </w:tabs>
              <w:spacing w:after="0"/>
              <w:rPr>
                <w:rFonts w:ascii="GHEA Grapalat" w:hAnsi="GHEA Grapalat" w:cs="Sylfaen"/>
                <w:b/>
                <w:sz w:val="18"/>
                <w:szCs w:val="18"/>
              </w:rPr>
            </w:pPr>
            <w:r w:rsidRPr="00FD3F1F">
              <w:rPr>
                <w:rFonts w:ascii="GHEA Grapalat" w:hAnsi="GHEA Grapalat" w:cs="Sylfaen"/>
                <w:b/>
                <w:sz w:val="18"/>
                <w:szCs w:val="18"/>
              </w:rPr>
              <w:t xml:space="preserve">Գծապատկեր </w:t>
            </w:r>
            <w:r w:rsidRPr="00FD3F1F">
              <w:rPr>
                <w:rFonts w:ascii="GHEA Grapalat" w:hAnsi="GHEA Grapalat" w:cs="Sylfaen"/>
                <w:b/>
                <w:sz w:val="18"/>
                <w:szCs w:val="18"/>
                <w:lang w:val="en-US"/>
              </w:rPr>
              <w:t xml:space="preserve">5. </w:t>
            </w:r>
            <w:r w:rsidRPr="00FD3F1F">
              <w:rPr>
                <w:rFonts w:ascii="GHEA Grapalat" w:hAnsi="GHEA Grapalat" w:cs="Sylfaen"/>
                <w:b/>
                <w:sz w:val="18"/>
                <w:szCs w:val="18"/>
              </w:rPr>
              <w:t>ՀՆԱ-ի կառուցվածքը (%)</w:t>
            </w:r>
          </w:p>
          <w:p w14:paraId="7AFEAF6E" w14:textId="77777777" w:rsidR="004D343C" w:rsidRPr="00FD3F1F" w:rsidRDefault="004D343C" w:rsidP="0026046A">
            <w:pPr>
              <w:tabs>
                <w:tab w:val="right" w:pos="0"/>
              </w:tabs>
              <w:spacing w:after="0" w:line="240" w:lineRule="auto"/>
              <w:rPr>
                <w:rFonts w:ascii="GHEA Grapalat" w:hAnsi="GHEA Grapalat" w:cs="Sylfaen"/>
                <w:b/>
                <w:sz w:val="18"/>
                <w:szCs w:val="18"/>
              </w:rPr>
            </w:pPr>
          </w:p>
          <w:p w14:paraId="179D0606" w14:textId="77777777" w:rsidR="004D343C" w:rsidRPr="00FD3F1F" w:rsidRDefault="004D343C" w:rsidP="0026046A">
            <w:pPr>
              <w:tabs>
                <w:tab w:val="right" w:pos="0"/>
              </w:tabs>
              <w:spacing w:before="120" w:after="60"/>
              <w:contextualSpacing/>
              <w:rPr>
                <w:rFonts w:ascii="GHEA Grapalat" w:hAnsi="GHEA Grapalat" w:cs="Sylfaen"/>
                <w:i/>
                <w:sz w:val="16"/>
                <w:szCs w:val="16"/>
              </w:rPr>
            </w:pPr>
            <w:r w:rsidRPr="00FD3F1F">
              <w:rPr>
                <w:rFonts w:ascii="GHEA Grapalat" w:hAnsi="GHEA Grapalat"/>
                <w:sz w:val="16"/>
                <w:szCs w:val="16"/>
                <w:lang w:val="en-US"/>
              </w:rPr>
              <w:drawing>
                <wp:inline distT="0" distB="0" distL="0" distR="0" wp14:anchorId="0F56CBAD" wp14:editId="0FD0536A">
                  <wp:extent cx="3124200" cy="1828165"/>
                  <wp:effectExtent l="0" t="0" r="0" b="63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DFCDFC7" w14:textId="77777777" w:rsidR="004D343C" w:rsidRPr="00993E96" w:rsidRDefault="004D343C" w:rsidP="0026046A">
            <w:pPr>
              <w:tabs>
                <w:tab w:val="right" w:pos="0"/>
              </w:tabs>
              <w:spacing w:before="120" w:after="60"/>
              <w:contextualSpacing/>
              <w:rPr>
                <w:rStyle w:val="Char0"/>
              </w:rPr>
            </w:pPr>
            <w:r w:rsidRPr="00FD3F1F">
              <w:rPr>
                <w:rFonts w:ascii="GHEA Grapalat" w:hAnsi="GHEA Grapalat"/>
                <w:i/>
                <w:sz w:val="16"/>
                <w:szCs w:val="16"/>
              </w:rPr>
              <w:t>Աղբյուր. ՀՀ վիճակագրական կոմիտե, ՀՀ ՖՆ հաշվարկներ</w:t>
            </w:r>
          </w:p>
        </w:tc>
      </w:tr>
    </w:tbl>
    <w:p w14:paraId="7E52314B" w14:textId="6E78F8FA" w:rsidR="009B7B3D" w:rsidRDefault="009B7B3D" w:rsidP="006426DA">
      <w:pPr>
        <w:spacing w:line="276" w:lineRule="auto"/>
        <w:ind w:firstLine="567"/>
        <w:jc w:val="both"/>
        <w:rPr>
          <w:rFonts w:ascii="GHEA Grapalat" w:eastAsia="GHEA Grapalat" w:hAnsi="GHEA Grapalat" w:cs="GHEA Grapalat"/>
          <w:sz w:val="22"/>
          <w:szCs w:val="22"/>
        </w:rPr>
      </w:pPr>
    </w:p>
    <w:p w14:paraId="1DCC21F8" w14:textId="1B253AEC" w:rsidR="006426DA" w:rsidRPr="00F2153A" w:rsidRDefault="006426DA" w:rsidP="006426DA">
      <w:pPr>
        <w:spacing w:line="276" w:lineRule="auto"/>
        <w:ind w:firstLine="567"/>
        <w:jc w:val="both"/>
        <w:rPr>
          <w:rFonts w:ascii="GHEA Grapalat" w:eastAsia="GHEA Grapalat" w:hAnsi="GHEA Grapalat" w:cs="GHEA Grapalat"/>
          <w:sz w:val="22"/>
          <w:szCs w:val="22"/>
        </w:rPr>
      </w:pPr>
      <w:r w:rsidRPr="00E52BBF">
        <w:rPr>
          <w:rFonts w:ascii="GHEA Grapalat" w:eastAsia="GHEA Grapalat" w:hAnsi="GHEA Grapalat" w:cs="GHEA Grapalat"/>
          <w:sz w:val="22"/>
          <w:szCs w:val="22"/>
        </w:rPr>
        <w:t xml:space="preserve">2025թ. նախորդ տարվա համեմատ գրանցվել է տնտեսական ակտիվության ցուցանիշի (այսուհետ՝ ՏԱՑ) </w:t>
      </w:r>
      <w:r w:rsidRPr="00A5531D">
        <w:rPr>
          <w:rFonts w:ascii="GHEA Grapalat" w:eastAsia="GHEA Grapalat" w:hAnsi="GHEA Grapalat" w:cs="GHEA Grapalat"/>
          <w:sz w:val="22"/>
          <w:szCs w:val="22"/>
        </w:rPr>
        <w:t>9.2%</w:t>
      </w:r>
      <w:r w:rsidRPr="00B12B7E">
        <w:rPr>
          <w:rFonts w:ascii="GHEA Grapalat" w:eastAsia="GHEA Grapalat" w:hAnsi="GHEA Grapalat" w:cs="GHEA Grapalat"/>
          <w:sz w:val="22"/>
          <w:szCs w:val="22"/>
        </w:rPr>
        <w:t xml:space="preserve"> աճ</w:t>
      </w:r>
      <w:r w:rsidRPr="001800A7">
        <w:rPr>
          <w:rFonts w:ascii="GHEA Grapalat" w:eastAsia="GHEA Grapalat" w:hAnsi="GHEA Grapalat" w:cs="GHEA Grapalat"/>
          <w:sz w:val="22"/>
          <w:szCs w:val="22"/>
        </w:rPr>
        <w:t xml:space="preserve"> (Գծապատկերներ 6-9)։ </w:t>
      </w:r>
      <w:r w:rsidRPr="004A4DD0">
        <w:rPr>
          <w:rFonts w:ascii="GHEA Grapalat" w:eastAsia="GHEA Grapalat" w:hAnsi="GHEA Grapalat" w:cs="GHEA Grapalat"/>
          <w:sz w:val="22"/>
          <w:szCs w:val="22"/>
        </w:rPr>
        <w:t>Տնտեսական ակտիվության աճը հիմնականում պայմանավորված է եղել ծառայությունների և շինարարության աճերով (նպաստումները` համապատասխանաբար</w:t>
      </w:r>
      <w:r w:rsidRPr="001B6969">
        <w:rPr>
          <w:rFonts w:ascii="GHEA Grapalat" w:eastAsia="GHEA Grapalat" w:hAnsi="GHEA Grapalat" w:cs="GHEA Grapalat"/>
          <w:sz w:val="22"/>
          <w:szCs w:val="22"/>
        </w:rPr>
        <w:t xml:space="preserve"> 5.5 և 1.5</w:t>
      </w:r>
      <w:r w:rsidRPr="004A4DD0">
        <w:rPr>
          <w:rFonts w:ascii="GHEA Grapalat" w:eastAsia="GHEA Grapalat" w:hAnsi="GHEA Grapalat" w:cs="GHEA Grapalat"/>
          <w:sz w:val="22"/>
          <w:szCs w:val="22"/>
        </w:rPr>
        <w:t xml:space="preserve"> տոկոսային կետեր): </w:t>
      </w:r>
      <w:r w:rsidRPr="00F671E6">
        <w:rPr>
          <w:rFonts w:ascii="GHEA Grapalat" w:eastAsia="GHEA Grapalat" w:hAnsi="GHEA Grapalat" w:cs="GHEA Grapalat"/>
          <w:sz w:val="22"/>
          <w:szCs w:val="22"/>
        </w:rPr>
        <w:t xml:space="preserve">Արդյունաբերության, գյուղատնտեսության և առևտրի աճերը ևս նպաստել են տնտեսական ակտիվությանը (համապատասխանաբար </w:t>
      </w:r>
      <w:r w:rsidRPr="00F2153A">
        <w:rPr>
          <w:rFonts w:ascii="GHEA Grapalat" w:eastAsia="GHEA Grapalat" w:hAnsi="GHEA Grapalat" w:cs="GHEA Grapalat"/>
          <w:sz w:val="22"/>
          <w:szCs w:val="22"/>
        </w:rPr>
        <w:t>0.8, 0.5 և 0.5 տոկոսային կետեր</w:t>
      </w:r>
      <w:r w:rsidR="00DD4CEC" w:rsidRPr="009B7B3D">
        <w:rPr>
          <w:rFonts w:ascii="GHEA Grapalat" w:eastAsia="GHEA Grapalat" w:hAnsi="GHEA Grapalat" w:cs="GHEA Grapalat"/>
          <w:sz w:val="22"/>
          <w:szCs w:val="22"/>
        </w:rPr>
        <w:t>ով</w:t>
      </w:r>
      <w:r w:rsidRPr="00F2153A">
        <w:rPr>
          <w:rFonts w:ascii="GHEA Grapalat" w:eastAsia="GHEA Grapalat" w:hAnsi="GHEA Grapalat" w:cs="GHEA Grapalat"/>
          <w:sz w:val="22"/>
          <w:szCs w:val="22"/>
        </w:rPr>
        <w:t>):</w:t>
      </w:r>
    </w:p>
    <w:p w14:paraId="3B3FF758" w14:textId="35635963" w:rsidR="006426DA" w:rsidRPr="00EA2F85" w:rsidRDefault="006426DA" w:rsidP="006426DA">
      <w:pPr>
        <w:spacing w:line="276" w:lineRule="auto"/>
        <w:ind w:firstLine="567"/>
        <w:jc w:val="both"/>
        <w:rPr>
          <w:rFonts w:ascii="GHEA Grapalat" w:eastAsia="GHEA Grapalat" w:hAnsi="GHEA Grapalat" w:cs="GHEA Grapalat"/>
          <w:sz w:val="22"/>
          <w:szCs w:val="22"/>
          <w:highlight w:val="yellow"/>
        </w:rPr>
      </w:pPr>
      <w:r w:rsidRPr="000B6FB4">
        <w:rPr>
          <w:rFonts w:ascii="GHEA Grapalat" w:eastAsia="GHEA Grapalat" w:hAnsi="GHEA Grapalat" w:cs="GHEA Grapalat"/>
          <w:sz w:val="22"/>
          <w:szCs w:val="22"/>
        </w:rPr>
        <w:t>Տնտեսական զարգացումներին իր դրական նպաստումն է շարունակել ունենալ բնակարանային շինարարության ոլորտի բարձր աշխուժությունը, որն իր վրա է կրում դեռևս նախորդ տարիներին նորակառույց բնակարանների և բնակելի տների նկատմամբ ձևավորված բարձր պահանջարկի (որին նպաստել է հիպոտեկային վարկերի տոկոսագումարների դիմաց եկամտային հարկի վերադարձի ծրագիրը և ծրագրի՝ Երևան քաղաքից աստիճանական դուրսբերման վերաբերյալ օրենսդրական փոփոխությունները) բավարարմանն ուղղված շինարարական աշխատանքների շարունակության ազդեցությունը:</w:t>
      </w:r>
    </w:p>
    <w:p w14:paraId="2000B30D" w14:textId="4ACC75D3" w:rsidR="006426DA" w:rsidRPr="00DC2FE8" w:rsidRDefault="006426DA" w:rsidP="006426DA">
      <w:pPr>
        <w:spacing w:line="276" w:lineRule="auto"/>
        <w:ind w:firstLine="567"/>
        <w:jc w:val="both"/>
        <w:rPr>
          <w:rFonts w:ascii="GHEA Grapalat" w:eastAsia="GHEA Grapalat" w:hAnsi="GHEA Grapalat" w:cs="GHEA Grapalat"/>
          <w:sz w:val="22"/>
          <w:szCs w:val="22"/>
        </w:rPr>
      </w:pPr>
      <w:r w:rsidRPr="00823670">
        <w:rPr>
          <w:rFonts w:ascii="GHEA Grapalat" w:eastAsia="GHEA Grapalat" w:hAnsi="GHEA Grapalat" w:cs="GHEA Grapalat"/>
          <w:b/>
          <w:i/>
          <w:iCs/>
          <w:sz w:val="22"/>
          <w:szCs w:val="22"/>
        </w:rPr>
        <w:t>Արդյունաբերություն</w:t>
      </w:r>
      <w:r w:rsidRPr="00823670">
        <w:rPr>
          <w:rFonts w:ascii="GHEA Grapalat" w:eastAsia="GHEA Grapalat" w:hAnsi="GHEA Grapalat" w:cs="GHEA Grapalat"/>
          <w:bCs/>
          <w:sz w:val="22"/>
          <w:szCs w:val="22"/>
          <w:vertAlign w:val="superscript"/>
        </w:rPr>
        <w:footnoteReference w:id="9"/>
      </w:r>
      <w:r w:rsidRPr="00823670">
        <w:rPr>
          <w:rFonts w:ascii="GHEA Grapalat" w:eastAsia="GHEA Grapalat" w:hAnsi="GHEA Grapalat" w:cs="GHEA Grapalat"/>
          <w:b/>
          <w:i/>
          <w:iCs/>
          <w:sz w:val="22"/>
          <w:szCs w:val="22"/>
        </w:rPr>
        <w:t>։</w:t>
      </w:r>
      <w:r w:rsidRPr="00823670">
        <w:rPr>
          <w:rFonts w:ascii="GHEA Grapalat" w:eastAsia="GHEA Grapalat" w:hAnsi="GHEA Grapalat" w:cs="GHEA Grapalat"/>
          <w:b/>
          <w:sz w:val="22"/>
          <w:szCs w:val="22"/>
        </w:rPr>
        <w:t xml:space="preserve"> </w:t>
      </w:r>
      <w:r w:rsidRPr="0062331A">
        <w:rPr>
          <w:rFonts w:ascii="GHEA Grapalat" w:eastAsia="GHEA Grapalat" w:hAnsi="GHEA Grapalat" w:cs="GHEA Grapalat"/>
          <w:sz w:val="22"/>
          <w:szCs w:val="22"/>
        </w:rPr>
        <w:t>Արդյունաբերության</w:t>
      </w:r>
      <w:r w:rsidR="001C74FC" w:rsidRPr="00B06C86">
        <w:rPr>
          <w:rFonts w:ascii="GHEA Grapalat" w:eastAsia="GHEA Grapalat" w:hAnsi="GHEA Grapalat" w:cs="GHEA Grapalat"/>
          <w:sz w:val="22"/>
          <w:szCs w:val="22"/>
        </w:rPr>
        <w:t>՝</w:t>
      </w:r>
      <w:r w:rsidRPr="0062331A">
        <w:rPr>
          <w:rFonts w:ascii="GHEA Grapalat" w:eastAsia="GHEA Grapalat" w:hAnsi="GHEA Grapalat" w:cs="GHEA Grapalat"/>
          <w:sz w:val="22"/>
          <w:szCs w:val="22"/>
        </w:rPr>
        <w:t xml:space="preserve"> դեռևս 2024թ. նոյեմբերից սկիզբ առած նվազման տեմպերը </w:t>
      </w:r>
      <w:r>
        <w:rPr>
          <w:rFonts w:ascii="GHEA Grapalat" w:eastAsia="GHEA Grapalat" w:hAnsi="GHEA Grapalat" w:cs="GHEA Grapalat"/>
          <w:sz w:val="22"/>
          <w:szCs w:val="22"/>
        </w:rPr>
        <w:t xml:space="preserve">2025թ. </w:t>
      </w:r>
      <w:r w:rsidRPr="0062331A">
        <w:rPr>
          <w:rFonts w:ascii="GHEA Grapalat" w:eastAsia="GHEA Grapalat" w:hAnsi="GHEA Grapalat" w:cs="GHEA Grapalat"/>
          <w:sz w:val="22"/>
          <w:szCs w:val="22"/>
        </w:rPr>
        <w:t xml:space="preserve">դանդաղել են, իսկ հուլիս ամսից աճը վերականգնվել է արագացող տեմպերով: </w:t>
      </w:r>
      <w:r w:rsidRPr="00C42C9C">
        <w:rPr>
          <w:rFonts w:ascii="GHEA Grapalat" w:eastAsia="GHEA Grapalat" w:hAnsi="GHEA Grapalat" w:cs="GHEA Grapalat"/>
          <w:sz w:val="22"/>
          <w:szCs w:val="22"/>
        </w:rPr>
        <w:t>Արդյունքում</w:t>
      </w:r>
      <w:r w:rsidRPr="00C42C9C">
        <w:rPr>
          <w:rFonts w:ascii="GHEA Grapalat" w:eastAsia="GHEA Grapalat" w:hAnsi="GHEA Grapalat" w:cs="GHEA Grapalat"/>
          <w:bCs/>
          <w:sz w:val="22"/>
          <w:szCs w:val="22"/>
        </w:rPr>
        <w:t xml:space="preserve"> 2025թ. արդյունաբերության ճյուղում գրանցվել է </w:t>
      </w:r>
      <w:r w:rsidRPr="00C2753B">
        <w:rPr>
          <w:rFonts w:ascii="GHEA Grapalat" w:eastAsia="GHEA Grapalat" w:hAnsi="GHEA Grapalat" w:cs="GHEA Grapalat"/>
          <w:bCs/>
          <w:sz w:val="22"/>
          <w:szCs w:val="22"/>
        </w:rPr>
        <w:t>4.7%</w:t>
      </w:r>
      <w:r w:rsidRPr="00C42C9C">
        <w:rPr>
          <w:rFonts w:ascii="GHEA Grapalat" w:eastAsia="GHEA Grapalat" w:hAnsi="GHEA Grapalat" w:cs="GHEA Grapalat"/>
          <w:bCs/>
          <w:sz w:val="22"/>
          <w:szCs w:val="22"/>
        </w:rPr>
        <w:t xml:space="preserve"> թողարկման աճ՝ </w:t>
      </w:r>
      <w:r w:rsidRPr="00EB210B">
        <w:rPr>
          <w:rFonts w:ascii="GHEA Grapalat" w:eastAsia="GHEA Grapalat" w:hAnsi="GHEA Grapalat" w:cs="GHEA Grapalat"/>
          <w:bCs/>
          <w:sz w:val="22"/>
          <w:szCs w:val="22"/>
        </w:rPr>
        <w:t xml:space="preserve">հիմնականում </w:t>
      </w:r>
      <w:r w:rsidRPr="00EB210B">
        <w:rPr>
          <w:rFonts w:ascii="GHEA Grapalat" w:eastAsia="GHEA Grapalat" w:hAnsi="GHEA Grapalat" w:cs="GHEA Grapalat"/>
          <w:sz w:val="22"/>
          <w:szCs w:val="22"/>
        </w:rPr>
        <w:t xml:space="preserve">պայմանավորված մշակող արդյունաբերության աճով (նպաստումը՝ 2.4 տոկոսային կետ): </w:t>
      </w:r>
      <w:r w:rsidRPr="00A02E47">
        <w:rPr>
          <w:rFonts w:ascii="GHEA Grapalat" w:eastAsia="GHEA Grapalat" w:hAnsi="GHEA Grapalat" w:cs="GHEA Grapalat"/>
          <w:sz w:val="22"/>
          <w:szCs w:val="22"/>
        </w:rPr>
        <w:lastRenderedPageBreak/>
        <w:t>Արդյունաբերության աճին նպաստել են նաև էլեկտրաէներգիայի արտադրություն, հաղորդում և բաշխում, ինչպես նաև մետաղական հանքաքարի արդյունահանում ենթաճյուղերի աճերը (նպաստումները</w:t>
      </w:r>
      <w:r w:rsidR="001C74FC" w:rsidRPr="00B06C86">
        <w:rPr>
          <w:rFonts w:ascii="GHEA Grapalat" w:eastAsia="GHEA Grapalat" w:hAnsi="GHEA Grapalat" w:cs="GHEA Grapalat"/>
          <w:sz w:val="22"/>
          <w:szCs w:val="22"/>
        </w:rPr>
        <w:t>՝</w:t>
      </w:r>
      <w:r>
        <w:rPr>
          <w:rFonts w:ascii="GHEA Grapalat" w:eastAsia="GHEA Grapalat" w:hAnsi="GHEA Grapalat" w:cs="GHEA Grapalat"/>
          <w:sz w:val="22"/>
          <w:szCs w:val="22"/>
        </w:rPr>
        <w:t xml:space="preserve"> </w:t>
      </w:r>
      <w:r w:rsidR="001C74FC">
        <w:rPr>
          <w:rFonts w:ascii="GHEA Grapalat" w:eastAsia="GHEA Grapalat" w:hAnsi="GHEA Grapalat" w:cs="GHEA Grapalat"/>
          <w:sz w:val="22"/>
          <w:szCs w:val="22"/>
        </w:rPr>
        <w:t>համապատասխանաբար</w:t>
      </w:r>
      <w:r w:rsidRPr="00A02E47">
        <w:rPr>
          <w:rFonts w:ascii="GHEA Grapalat" w:eastAsia="GHEA Grapalat" w:hAnsi="GHEA Grapalat" w:cs="GHEA Grapalat"/>
          <w:sz w:val="22"/>
          <w:szCs w:val="22"/>
        </w:rPr>
        <w:t xml:space="preserve"> </w:t>
      </w:r>
      <w:r w:rsidRPr="00DC2FE8">
        <w:rPr>
          <w:rFonts w:ascii="GHEA Grapalat" w:eastAsia="GHEA Grapalat" w:hAnsi="GHEA Grapalat" w:cs="GHEA Grapalat"/>
          <w:sz w:val="22"/>
          <w:szCs w:val="22"/>
        </w:rPr>
        <w:t xml:space="preserve">1.1 և 0.8 տոկոսային կետեր): </w:t>
      </w:r>
    </w:p>
    <w:p w14:paraId="55E1C985" w14:textId="6AC6C8F2" w:rsidR="006426DA" w:rsidRPr="004B42FB" w:rsidRDefault="006426DA" w:rsidP="006426DA">
      <w:pPr>
        <w:spacing w:line="276" w:lineRule="auto"/>
        <w:ind w:firstLine="567"/>
        <w:jc w:val="both"/>
        <w:rPr>
          <w:rFonts w:ascii="GHEA Grapalat" w:eastAsia="GHEA Grapalat" w:hAnsi="GHEA Grapalat" w:cs="GHEA Grapalat"/>
          <w:sz w:val="22"/>
          <w:szCs w:val="22"/>
          <w:highlight w:val="yellow"/>
        </w:rPr>
      </w:pPr>
      <w:r w:rsidRPr="00F63D90">
        <w:rPr>
          <w:rFonts w:ascii="GHEA Grapalat" w:eastAsia="GHEA Grapalat" w:hAnsi="GHEA Grapalat" w:cs="GHEA Grapalat"/>
          <w:sz w:val="22"/>
          <w:szCs w:val="22"/>
        </w:rPr>
        <w:t xml:space="preserve">Մշակող արդյունաբերության աճը պայմանավորված է եղել ինչպես արտերկրում, այնպես էլ երկրի ներսում իրացման ծավալների աճով: </w:t>
      </w:r>
      <w:r w:rsidRPr="00D027BA">
        <w:rPr>
          <w:rFonts w:ascii="GHEA Grapalat" w:eastAsia="GHEA Grapalat" w:hAnsi="GHEA Grapalat" w:cs="GHEA Grapalat"/>
          <w:sz w:val="22"/>
          <w:szCs w:val="22"/>
        </w:rPr>
        <w:t>Ենթաճյուղի</w:t>
      </w:r>
      <w:r w:rsidRPr="00D027BA">
        <w:rPr>
          <w:rFonts w:ascii="GHEA Grapalat" w:eastAsia="GHEA Grapalat" w:hAnsi="GHEA Grapalat" w:cs="Arial"/>
          <w:sz w:val="22"/>
          <w:szCs w:val="22"/>
        </w:rPr>
        <w:t xml:space="preserve"> աճ</w:t>
      </w:r>
      <w:r w:rsidRPr="00D027BA">
        <w:rPr>
          <w:rFonts w:ascii="GHEA Grapalat" w:eastAsia="GHEA Grapalat" w:hAnsi="GHEA Grapalat" w:cs="GHEA Grapalat"/>
          <w:sz w:val="22"/>
          <w:szCs w:val="22"/>
        </w:rPr>
        <w:t xml:space="preserve">ը հիմնականում պայմանավորված է եղել ծխախոտային արտադրատեսակների և սննդամթերքի արտադրության աճերով (նպաստումները` համապատասխանաբար 3.6 և 2.3 տոկոսային կետեր): </w:t>
      </w:r>
      <w:r>
        <w:rPr>
          <w:rFonts w:ascii="GHEA Grapalat" w:eastAsia="GHEA Grapalat" w:hAnsi="GHEA Grapalat" w:cs="GHEA Grapalat"/>
          <w:sz w:val="22"/>
          <w:szCs w:val="22"/>
        </w:rPr>
        <w:t xml:space="preserve">Չորրորդ եռամսյակում մշակող արդյունաբերության աճին զգալիորեն նպաստել է նաև </w:t>
      </w:r>
      <w:r w:rsidRPr="004B42FB">
        <w:rPr>
          <w:rFonts w:ascii="GHEA Grapalat" w:eastAsia="GHEA Grapalat" w:hAnsi="GHEA Grapalat" w:cs="GHEA Grapalat"/>
          <w:sz w:val="22"/>
          <w:szCs w:val="22"/>
        </w:rPr>
        <w:t>հիմնային</w:t>
      </w:r>
      <w:r>
        <w:rPr>
          <w:rFonts w:ascii="GHEA Grapalat" w:eastAsia="GHEA Grapalat" w:hAnsi="GHEA Grapalat" w:cs="GHEA Grapalat"/>
          <w:sz w:val="22"/>
          <w:szCs w:val="22"/>
        </w:rPr>
        <w:t xml:space="preserve"> </w:t>
      </w:r>
      <w:r w:rsidRPr="004B42FB">
        <w:rPr>
          <w:rFonts w:ascii="GHEA Grapalat" w:eastAsia="GHEA Grapalat" w:hAnsi="GHEA Grapalat" w:cs="GHEA Grapalat"/>
          <w:sz w:val="22"/>
          <w:szCs w:val="22"/>
        </w:rPr>
        <w:t>մետաղների արտադրությ</w:t>
      </w:r>
      <w:r>
        <w:rPr>
          <w:rFonts w:ascii="GHEA Grapalat" w:eastAsia="GHEA Grapalat" w:hAnsi="GHEA Grapalat" w:cs="GHEA Grapalat"/>
          <w:sz w:val="22"/>
          <w:szCs w:val="22"/>
        </w:rPr>
        <w:t>ա</w:t>
      </w:r>
      <w:r w:rsidRPr="004B42FB">
        <w:rPr>
          <w:rFonts w:ascii="GHEA Grapalat" w:eastAsia="GHEA Grapalat" w:hAnsi="GHEA Grapalat" w:cs="GHEA Grapalat"/>
          <w:sz w:val="22"/>
          <w:szCs w:val="22"/>
        </w:rPr>
        <w:t>ն</w:t>
      </w:r>
      <w:r>
        <w:rPr>
          <w:rFonts w:ascii="GHEA Grapalat" w:eastAsia="GHEA Grapalat" w:hAnsi="GHEA Grapalat" w:cs="GHEA Grapalat"/>
          <w:sz w:val="22"/>
          <w:szCs w:val="22"/>
        </w:rPr>
        <w:t xml:space="preserve"> կտրուկ աճը </w:t>
      </w:r>
      <w:r w:rsidRPr="002126B6">
        <w:rPr>
          <w:rFonts w:ascii="GHEA Grapalat" w:eastAsia="GHEA Grapalat" w:hAnsi="GHEA Grapalat" w:cs="GHEA Grapalat"/>
          <w:sz w:val="22"/>
          <w:szCs w:val="22"/>
        </w:rPr>
        <w:t>(</w:t>
      </w:r>
      <w:r>
        <w:rPr>
          <w:rFonts w:ascii="GHEA Grapalat" w:eastAsia="GHEA Grapalat" w:hAnsi="GHEA Grapalat" w:cs="GHEA Grapalat"/>
          <w:sz w:val="22"/>
          <w:szCs w:val="22"/>
        </w:rPr>
        <w:t>միջին</w:t>
      </w:r>
      <w:r w:rsidRPr="002126B6">
        <w:rPr>
          <w:rFonts w:ascii="GHEA Grapalat" w:eastAsia="GHEA Grapalat" w:hAnsi="GHEA Grapalat" w:cs="GHEA Grapalat"/>
          <w:sz w:val="22"/>
          <w:szCs w:val="22"/>
        </w:rPr>
        <w:t xml:space="preserve"> նպաստում</w:t>
      </w:r>
      <w:r>
        <w:rPr>
          <w:rFonts w:ascii="GHEA Grapalat" w:eastAsia="GHEA Grapalat" w:hAnsi="GHEA Grapalat" w:cs="GHEA Grapalat"/>
          <w:sz w:val="22"/>
          <w:szCs w:val="22"/>
        </w:rPr>
        <w:t>ը</w:t>
      </w:r>
      <w:r w:rsidRPr="002126B6">
        <w:rPr>
          <w:rFonts w:ascii="GHEA Grapalat" w:eastAsia="GHEA Grapalat" w:hAnsi="GHEA Grapalat" w:cs="GHEA Grapalat"/>
          <w:sz w:val="22"/>
          <w:szCs w:val="22"/>
        </w:rPr>
        <w:t xml:space="preserve">` </w:t>
      </w:r>
      <w:r>
        <w:rPr>
          <w:rFonts w:ascii="GHEA Grapalat" w:eastAsia="GHEA Grapalat" w:hAnsi="GHEA Grapalat" w:cs="GHEA Grapalat"/>
          <w:sz w:val="22"/>
          <w:szCs w:val="22"/>
        </w:rPr>
        <w:t>26</w:t>
      </w:r>
      <w:r w:rsidRPr="00AC2F02">
        <w:rPr>
          <w:rFonts w:ascii="GHEA Grapalat" w:eastAsia="GHEA Grapalat" w:hAnsi="GHEA Grapalat" w:cs="GHEA Grapalat"/>
          <w:sz w:val="22"/>
          <w:szCs w:val="22"/>
        </w:rPr>
        <w:t>.</w:t>
      </w:r>
      <w:r>
        <w:rPr>
          <w:rFonts w:ascii="GHEA Grapalat" w:eastAsia="GHEA Grapalat" w:hAnsi="GHEA Grapalat" w:cs="GHEA Grapalat"/>
          <w:sz w:val="22"/>
          <w:szCs w:val="22"/>
        </w:rPr>
        <w:t>7</w:t>
      </w:r>
      <w:r w:rsidRPr="00AC2F02">
        <w:rPr>
          <w:rFonts w:ascii="GHEA Grapalat" w:eastAsia="GHEA Grapalat" w:hAnsi="GHEA Grapalat" w:cs="GHEA Grapalat"/>
          <w:sz w:val="22"/>
          <w:szCs w:val="22"/>
        </w:rPr>
        <w:t xml:space="preserve"> տոկոսային կետ)</w:t>
      </w:r>
      <w:r>
        <w:rPr>
          <w:rFonts w:ascii="GHEA Grapalat" w:eastAsia="GHEA Grapalat" w:hAnsi="GHEA Grapalat" w:cs="GHEA Grapalat"/>
          <w:sz w:val="22"/>
          <w:szCs w:val="22"/>
        </w:rPr>
        <w:t>:</w:t>
      </w:r>
    </w:p>
    <w:p w14:paraId="51FCDE50" w14:textId="77777777" w:rsidR="006426DA" w:rsidRPr="005A3D0D" w:rsidRDefault="006426DA" w:rsidP="006426DA">
      <w:pPr>
        <w:spacing w:line="276" w:lineRule="auto"/>
        <w:ind w:firstLine="567"/>
        <w:jc w:val="both"/>
        <w:rPr>
          <w:rFonts w:ascii="GHEA Grapalat" w:eastAsia="GHEA Grapalat" w:hAnsi="GHEA Grapalat" w:cs="Sylfaen"/>
          <w:sz w:val="22"/>
          <w:szCs w:val="22"/>
        </w:rPr>
      </w:pPr>
      <w:r w:rsidRPr="00823670">
        <w:rPr>
          <w:rFonts w:ascii="GHEA Grapalat" w:eastAsia="GHEA Grapalat" w:hAnsi="GHEA Grapalat" w:cs="GHEA Grapalat"/>
          <w:b/>
          <w:i/>
          <w:iCs/>
          <w:sz w:val="22"/>
          <w:szCs w:val="22"/>
        </w:rPr>
        <w:t>Գյուղատնտեսություն։</w:t>
      </w:r>
      <w:r w:rsidRPr="00823670">
        <w:rPr>
          <w:rFonts w:ascii="GHEA Grapalat" w:eastAsia="GHEA Grapalat" w:hAnsi="GHEA Grapalat" w:cs="GHEA Grapalat"/>
          <w:b/>
          <w:sz w:val="22"/>
          <w:szCs w:val="22"/>
        </w:rPr>
        <w:t xml:space="preserve"> </w:t>
      </w:r>
      <w:r w:rsidRPr="00343BD4">
        <w:rPr>
          <w:rFonts w:ascii="GHEA Grapalat" w:eastAsia="GHEA Grapalat" w:hAnsi="GHEA Grapalat" w:cs="GHEA Grapalat"/>
          <w:bCs/>
          <w:sz w:val="22"/>
          <w:szCs w:val="22"/>
        </w:rPr>
        <w:t xml:space="preserve">Գյուղատնտեսության, անտառային տնտեսության և ձկնորսության համախառն արտադրանքը 2025թ. աճել է </w:t>
      </w:r>
      <w:r w:rsidRPr="00B61A04">
        <w:rPr>
          <w:rFonts w:ascii="GHEA Grapalat" w:eastAsia="GHEA Grapalat" w:hAnsi="GHEA Grapalat" w:cs="GHEA Grapalat"/>
          <w:bCs/>
          <w:sz w:val="22"/>
          <w:szCs w:val="22"/>
        </w:rPr>
        <w:t>5.6%-</w:t>
      </w:r>
      <w:r w:rsidRPr="00343BD4">
        <w:rPr>
          <w:rFonts w:ascii="GHEA Grapalat" w:eastAsia="GHEA Grapalat" w:hAnsi="GHEA Grapalat" w:cs="GHEA Grapalat"/>
          <w:bCs/>
          <w:sz w:val="22"/>
          <w:szCs w:val="22"/>
        </w:rPr>
        <w:t>ով:</w:t>
      </w:r>
      <w:r w:rsidRPr="00343BD4">
        <w:rPr>
          <w:rFonts w:ascii="GHEA Grapalat" w:eastAsia="GHEA Grapalat" w:hAnsi="GHEA Grapalat" w:cs="GHEA Grapalat"/>
          <w:sz w:val="22"/>
          <w:szCs w:val="22"/>
        </w:rPr>
        <w:t xml:space="preserve"> </w:t>
      </w:r>
      <w:r w:rsidRPr="00A523B4">
        <w:rPr>
          <w:rFonts w:ascii="GHEA Grapalat" w:eastAsia="GHEA Grapalat" w:hAnsi="GHEA Grapalat" w:cs="GHEA Grapalat"/>
          <w:sz w:val="22"/>
          <w:szCs w:val="22"/>
        </w:rPr>
        <w:t xml:space="preserve">Ճյուղին հիմնականում նպաստել է բուսաբուծության աճը (նպաստումը` 4.4 տոկոսային կետ), </w:t>
      </w:r>
      <w:r w:rsidRPr="00FA2842">
        <w:rPr>
          <w:rFonts w:ascii="GHEA Grapalat" w:eastAsia="GHEA Grapalat" w:hAnsi="GHEA Grapalat" w:cs="GHEA Grapalat"/>
          <w:sz w:val="22"/>
          <w:szCs w:val="22"/>
        </w:rPr>
        <w:t xml:space="preserve">որն էլ իր հերթին պայմանավորված է եղել </w:t>
      </w:r>
      <w:r>
        <w:rPr>
          <w:rFonts w:ascii="GHEA Grapalat" w:eastAsia="GHEA Grapalat" w:hAnsi="GHEA Grapalat" w:cs="GHEA Grapalat"/>
          <w:sz w:val="22"/>
          <w:szCs w:val="22"/>
        </w:rPr>
        <w:t>հիմնականում</w:t>
      </w:r>
      <w:r w:rsidRPr="00FA2842">
        <w:rPr>
          <w:rFonts w:ascii="GHEA Grapalat" w:eastAsia="GHEA Grapalat" w:hAnsi="GHEA Grapalat" w:cs="GHEA Grapalat"/>
          <w:sz w:val="22"/>
          <w:szCs w:val="22"/>
        </w:rPr>
        <w:t xml:space="preserve"> խաղողի, պտղի և հատապտղի, ինչպես նաև հացահատիկի և հատիկաընդեղենի համախառն բերքի աճերով:</w:t>
      </w:r>
      <w:r w:rsidRPr="003D6386">
        <w:rPr>
          <w:rFonts w:ascii="GHEA Grapalat" w:eastAsia="GHEA Grapalat" w:hAnsi="GHEA Grapalat" w:cs="GHEA Grapalat"/>
          <w:sz w:val="22"/>
          <w:szCs w:val="22"/>
        </w:rPr>
        <w:t xml:space="preserve"> Անասնաբուծությունը, ձկնորսությունը և անտառային տնտեսությունը ևս աճել են՝ նպաստելով գյուղատնտեսության աճին (նպաստումները՝ համապատասխանաբար՝ </w:t>
      </w:r>
      <w:r w:rsidRPr="000C583A">
        <w:rPr>
          <w:rFonts w:ascii="GHEA Grapalat" w:eastAsia="GHEA Grapalat" w:hAnsi="GHEA Grapalat" w:cs="GHEA Grapalat"/>
          <w:sz w:val="22"/>
          <w:szCs w:val="22"/>
        </w:rPr>
        <w:t xml:space="preserve">0.9, 0.2 և 0.1 տոկոսային կետեր): </w:t>
      </w:r>
      <w:r w:rsidRPr="005A3D0D">
        <w:rPr>
          <w:rFonts w:ascii="GHEA Grapalat" w:eastAsia="GHEA Grapalat" w:hAnsi="GHEA Grapalat" w:cs="GHEA Grapalat"/>
          <w:sz w:val="22"/>
          <w:szCs w:val="22"/>
        </w:rPr>
        <w:t>Անասնաբուծության աճն իր հերթին պայմանավորված է եղել ձվի արտադրության և սպանդի համար գյուղատնտեսական կենդանու և թռչնի իրացման աճով:</w:t>
      </w:r>
    </w:p>
    <w:p w14:paraId="6CE98B96" w14:textId="07DFCAC7" w:rsidR="006426DA" w:rsidRPr="00504A31" w:rsidRDefault="006426DA" w:rsidP="006426DA">
      <w:pPr>
        <w:spacing w:line="276" w:lineRule="auto"/>
        <w:ind w:firstLine="567"/>
        <w:jc w:val="both"/>
        <w:rPr>
          <w:rFonts w:ascii="GHEA Grapalat" w:eastAsia="GHEA Grapalat" w:hAnsi="GHEA Grapalat" w:cs="GHEA Grapalat"/>
          <w:bCs/>
          <w:sz w:val="22"/>
          <w:szCs w:val="22"/>
        </w:rPr>
      </w:pPr>
      <w:r w:rsidRPr="00823670">
        <w:rPr>
          <w:rFonts w:ascii="GHEA Grapalat" w:eastAsia="GHEA Grapalat" w:hAnsi="GHEA Grapalat" w:cs="GHEA Grapalat"/>
          <w:b/>
          <w:i/>
          <w:iCs/>
          <w:sz w:val="22"/>
          <w:szCs w:val="22"/>
        </w:rPr>
        <w:t>Շինարարություն։</w:t>
      </w:r>
      <w:r w:rsidRPr="00823670">
        <w:rPr>
          <w:rFonts w:ascii="GHEA Grapalat" w:eastAsia="GHEA Grapalat" w:hAnsi="GHEA Grapalat" w:cs="GHEA Grapalat"/>
          <w:b/>
          <w:sz w:val="22"/>
          <w:szCs w:val="22"/>
        </w:rPr>
        <w:t xml:space="preserve"> </w:t>
      </w:r>
      <w:r w:rsidRPr="00AF4583">
        <w:rPr>
          <w:rFonts w:ascii="GHEA Grapalat" w:eastAsia="GHEA Grapalat" w:hAnsi="GHEA Grapalat" w:cs="GHEA Grapalat"/>
          <w:bCs/>
          <w:sz w:val="22"/>
          <w:szCs w:val="22"/>
        </w:rPr>
        <w:t xml:space="preserve">Շինարարության ճյուղում գրանցված </w:t>
      </w:r>
      <w:r w:rsidRPr="00C2753B">
        <w:rPr>
          <w:rFonts w:ascii="GHEA Grapalat" w:eastAsia="GHEA Grapalat" w:hAnsi="GHEA Grapalat" w:cs="GHEA Grapalat"/>
          <w:bCs/>
          <w:sz w:val="22"/>
          <w:szCs w:val="22"/>
        </w:rPr>
        <w:t>20.2%</w:t>
      </w:r>
      <w:r w:rsidRPr="00AF4583">
        <w:rPr>
          <w:rFonts w:ascii="GHEA Grapalat" w:eastAsia="GHEA Grapalat" w:hAnsi="GHEA Grapalat" w:cs="GHEA Grapalat"/>
          <w:bCs/>
          <w:sz w:val="22"/>
          <w:szCs w:val="22"/>
        </w:rPr>
        <w:t xml:space="preserve"> աճը </w:t>
      </w:r>
      <w:r w:rsidRPr="002F7E0B">
        <w:rPr>
          <w:rFonts w:ascii="GHEA Grapalat" w:eastAsia="GHEA Grapalat" w:hAnsi="GHEA Grapalat" w:cs="GHEA Grapalat"/>
          <w:bCs/>
          <w:sz w:val="22"/>
          <w:szCs w:val="22"/>
        </w:rPr>
        <w:t xml:space="preserve">հիմնականում պայմանավորված է եղել պետական բյուջեի, կազմակերպությունների և բնակչության միջոցներով իրականացված շինարարության ծավալների աճով </w:t>
      </w:r>
      <w:r w:rsidRPr="00A61C24">
        <w:rPr>
          <w:rFonts w:ascii="GHEA Grapalat" w:eastAsia="GHEA Grapalat" w:hAnsi="GHEA Grapalat" w:cs="GHEA Grapalat"/>
          <w:bCs/>
          <w:sz w:val="22"/>
          <w:szCs w:val="22"/>
        </w:rPr>
        <w:t xml:space="preserve">(նպաստումները` համապատասխանաբար </w:t>
      </w:r>
      <w:r w:rsidRPr="00FF3D5D">
        <w:rPr>
          <w:rFonts w:ascii="GHEA Grapalat" w:eastAsia="GHEA Grapalat" w:hAnsi="GHEA Grapalat" w:cs="GHEA Grapalat"/>
          <w:bCs/>
          <w:sz w:val="22"/>
          <w:szCs w:val="22"/>
        </w:rPr>
        <w:t xml:space="preserve">9.6, 5.0 և 4.1 տոկոսային կետեր): </w:t>
      </w:r>
      <w:r w:rsidRPr="006A17FF">
        <w:rPr>
          <w:rFonts w:ascii="GHEA Grapalat" w:eastAsia="GHEA Grapalat" w:hAnsi="GHEA Grapalat" w:cs="GHEA Grapalat"/>
          <w:bCs/>
          <w:sz w:val="22"/>
          <w:szCs w:val="22"/>
        </w:rPr>
        <w:t xml:space="preserve">Կազմակերպությունների և բնակչության միջոցներով ֆինանսավորվող շինարարության աճերը վկայում են ներքին միջոցներով իրականացվող մասնավոր ներդրումների աճի </w:t>
      </w:r>
      <w:r w:rsidRPr="00504A31">
        <w:rPr>
          <w:rFonts w:ascii="GHEA Grapalat" w:eastAsia="GHEA Grapalat" w:hAnsi="GHEA Grapalat" w:cs="GHEA Grapalat"/>
          <w:bCs/>
          <w:sz w:val="22"/>
          <w:szCs w:val="22"/>
        </w:rPr>
        <w:t>մասին (պայմանավորված հիմնականում բնակարանային շինարարության ծավալների աճով)։</w:t>
      </w:r>
    </w:p>
    <w:p w14:paraId="569CE23E" w14:textId="120DD4C8" w:rsidR="006426DA" w:rsidRPr="00EA2F85" w:rsidRDefault="006426DA" w:rsidP="006426DA">
      <w:pPr>
        <w:spacing w:line="276" w:lineRule="auto"/>
        <w:ind w:firstLine="567"/>
        <w:jc w:val="both"/>
        <w:rPr>
          <w:rFonts w:ascii="GHEA Grapalat" w:eastAsia="GHEA Grapalat" w:hAnsi="GHEA Grapalat" w:cs="GHEA Grapalat"/>
          <w:sz w:val="22"/>
          <w:szCs w:val="22"/>
          <w:highlight w:val="yellow"/>
        </w:rPr>
      </w:pPr>
      <w:r w:rsidRPr="00EB11E1">
        <w:rPr>
          <w:rFonts w:ascii="GHEA Grapalat" w:eastAsia="GHEA Grapalat" w:hAnsi="GHEA Grapalat" w:cs="GHEA Grapalat"/>
          <w:bCs/>
          <w:sz w:val="22"/>
          <w:szCs w:val="22"/>
        </w:rPr>
        <w:t xml:space="preserve">Ըստ տնտեսական գործունեության տեսակների՝ շինարարության աճին </w:t>
      </w:r>
      <w:r w:rsidRPr="001356B3">
        <w:rPr>
          <w:rFonts w:ascii="GHEA Grapalat" w:eastAsia="GHEA Grapalat" w:hAnsi="GHEA Grapalat" w:cs="GHEA Grapalat"/>
          <w:bCs/>
          <w:sz w:val="22"/>
          <w:szCs w:val="22"/>
        </w:rPr>
        <w:t>հիմնականում նպաստել են անշարժ գույքի հետ կապված գործունեության (հիմնականում՝ բնակարանաշինությ</w:t>
      </w:r>
      <w:r w:rsidR="00E62C09" w:rsidRPr="00B06C86">
        <w:rPr>
          <w:rFonts w:ascii="GHEA Grapalat" w:eastAsia="GHEA Grapalat" w:hAnsi="GHEA Grapalat" w:cs="GHEA Grapalat"/>
          <w:bCs/>
          <w:sz w:val="22"/>
          <w:szCs w:val="22"/>
        </w:rPr>
        <w:t>ա</w:t>
      </w:r>
      <w:r w:rsidRPr="001356B3">
        <w:rPr>
          <w:rFonts w:ascii="GHEA Grapalat" w:eastAsia="GHEA Grapalat" w:hAnsi="GHEA Grapalat" w:cs="GHEA Grapalat"/>
          <w:bCs/>
          <w:sz w:val="22"/>
          <w:szCs w:val="22"/>
        </w:rPr>
        <w:t xml:space="preserve">ն), </w:t>
      </w:r>
      <w:r w:rsidRPr="00016799">
        <w:rPr>
          <w:rFonts w:ascii="GHEA Grapalat" w:eastAsia="GHEA Grapalat" w:hAnsi="GHEA Grapalat" w:cs="GHEA Grapalat"/>
          <w:bCs/>
          <w:sz w:val="22"/>
          <w:szCs w:val="22"/>
        </w:rPr>
        <w:t>ինչպես նաև կրթության ոլորտներում շինարարության ծավալների աճերը:</w:t>
      </w:r>
      <w:r w:rsidRPr="00016799">
        <w:rPr>
          <w:rFonts w:ascii="GHEA Grapalat" w:eastAsia="GHEA Grapalat" w:hAnsi="GHEA Grapalat" w:cs="GHEA Grapalat"/>
          <w:sz w:val="22"/>
          <w:szCs w:val="22"/>
        </w:rPr>
        <w:t xml:space="preserve"> </w:t>
      </w:r>
    </w:p>
    <w:p w14:paraId="5BA03BF7" w14:textId="65A4717C" w:rsidR="006426DA" w:rsidRPr="00646A80" w:rsidRDefault="006426DA" w:rsidP="006426DA">
      <w:pPr>
        <w:spacing w:line="276" w:lineRule="auto"/>
        <w:ind w:firstLine="567"/>
        <w:jc w:val="both"/>
        <w:rPr>
          <w:rFonts w:ascii="GHEA Grapalat" w:eastAsia="GHEA Grapalat" w:hAnsi="GHEA Grapalat" w:cs="GHEA Grapalat"/>
          <w:bCs/>
          <w:sz w:val="22"/>
          <w:szCs w:val="22"/>
        </w:rPr>
      </w:pPr>
      <w:r w:rsidRPr="00823670">
        <w:rPr>
          <w:rFonts w:ascii="GHEA Grapalat" w:eastAsia="GHEA Grapalat" w:hAnsi="GHEA Grapalat" w:cs="GHEA Grapalat"/>
          <w:b/>
          <w:i/>
          <w:iCs/>
          <w:sz w:val="22"/>
          <w:szCs w:val="22"/>
        </w:rPr>
        <w:t>Ծառայություններ և առևտուր։</w:t>
      </w:r>
      <w:r w:rsidRPr="00823670">
        <w:rPr>
          <w:rFonts w:ascii="GHEA Grapalat" w:eastAsia="GHEA Grapalat" w:hAnsi="GHEA Grapalat" w:cs="GHEA Grapalat"/>
          <w:b/>
          <w:sz w:val="22"/>
          <w:szCs w:val="22"/>
        </w:rPr>
        <w:t xml:space="preserve"> </w:t>
      </w:r>
      <w:r w:rsidRPr="00BF0309">
        <w:rPr>
          <w:rFonts w:ascii="GHEA Grapalat" w:eastAsia="GHEA Grapalat" w:hAnsi="GHEA Grapalat" w:cs="GHEA Grapalat"/>
          <w:bCs/>
          <w:sz w:val="22"/>
          <w:szCs w:val="22"/>
        </w:rPr>
        <w:t xml:space="preserve">Ծառայություններն աճել են </w:t>
      </w:r>
      <w:r w:rsidRPr="007949E6">
        <w:rPr>
          <w:rFonts w:ascii="GHEA Grapalat" w:eastAsia="GHEA Grapalat" w:hAnsi="GHEA Grapalat" w:cs="GHEA Grapalat"/>
          <w:bCs/>
          <w:sz w:val="22"/>
          <w:szCs w:val="22"/>
        </w:rPr>
        <w:t>10.6</w:t>
      </w:r>
      <w:r w:rsidRPr="00BF0309">
        <w:rPr>
          <w:rFonts w:ascii="GHEA Grapalat" w:eastAsia="GHEA Grapalat" w:hAnsi="GHEA Grapalat" w:cs="GHEA Grapalat"/>
          <w:bCs/>
          <w:sz w:val="22"/>
          <w:szCs w:val="22"/>
        </w:rPr>
        <w:t xml:space="preserve">%-ով՝ </w:t>
      </w:r>
      <w:r w:rsidRPr="00A038C1">
        <w:rPr>
          <w:rFonts w:ascii="GHEA Grapalat" w:eastAsia="GHEA Grapalat" w:hAnsi="GHEA Grapalat" w:cs="GHEA Grapalat"/>
          <w:bCs/>
          <w:sz w:val="22"/>
          <w:szCs w:val="22"/>
        </w:rPr>
        <w:t xml:space="preserve">հիմնականում պայմանավորված ֆինանսական և ապահովագրական գործունեություն (մասնավորապես՝ բանկերի </w:t>
      </w:r>
      <w:r>
        <w:rPr>
          <w:rFonts w:ascii="GHEA Grapalat" w:eastAsia="GHEA Grapalat" w:hAnsi="GHEA Grapalat" w:cs="GHEA Grapalat"/>
          <w:bCs/>
          <w:sz w:val="22"/>
          <w:szCs w:val="22"/>
        </w:rPr>
        <w:t>գործունեություն</w:t>
      </w:r>
      <w:r w:rsidRPr="00A038C1">
        <w:rPr>
          <w:rFonts w:ascii="GHEA Grapalat" w:eastAsia="GHEA Grapalat" w:hAnsi="GHEA Grapalat" w:cs="GHEA Grapalat"/>
          <w:bCs/>
          <w:sz w:val="22"/>
          <w:szCs w:val="22"/>
        </w:rPr>
        <w:t xml:space="preserve">), ինչպես նաև տեղեկատվություն և կապ (մասնավորապես՝ տեղեկատվական տեխնոլոգիաների) ենթաճյուղերի աճերով (նպաստումները` համապատասխանաբար </w:t>
      </w:r>
      <w:r w:rsidRPr="000F2E09">
        <w:rPr>
          <w:rFonts w:ascii="GHEA Grapalat" w:eastAsia="GHEA Grapalat" w:hAnsi="GHEA Grapalat" w:cs="GHEA Grapalat"/>
          <w:bCs/>
          <w:sz w:val="22"/>
          <w:szCs w:val="22"/>
        </w:rPr>
        <w:t>4.4 և 3.6 տոկոսային կետեր): Ճյուղի աճի</w:t>
      </w:r>
      <w:r w:rsidR="00051103" w:rsidRPr="00493BAB">
        <w:rPr>
          <w:rFonts w:ascii="GHEA Grapalat" w:eastAsia="GHEA Grapalat" w:hAnsi="GHEA Grapalat" w:cs="GHEA Grapalat"/>
          <w:bCs/>
          <w:sz w:val="22"/>
          <w:szCs w:val="22"/>
        </w:rPr>
        <w:t xml:space="preserve"> վրա</w:t>
      </w:r>
      <w:r w:rsidRPr="000F2E09">
        <w:rPr>
          <w:rFonts w:ascii="GHEA Grapalat" w:eastAsia="GHEA Grapalat" w:hAnsi="GHEA Grapalat" w:cs="GHEA Grapalat"/>
          <w:bCs/>
          <w:sz w:val="22"/>
          <w:szCs w:val="22"/>
        </w:rPr>
        <w:t xml:space="preserve"> բացասաբար է ազդել միայն տրանսպորտ ենթաճյուղի նվազումը (բացասական նպաստումը` 0.1 տոկոսային կետ), </w:t>
      </w:r>
      <w:r w:rsidRPr="00646A80">
        <w:rPr>
          <w:rFonts w:ascii="GHEA Grapalat" w:eastAsia="GHEA Grapalat" w:hAnsi="GHEA Grapalat" w:cs="GHEA Grapalat"/>
          <w:bCs/>
          <w:sz w:val="22"/>
          <w:szCs w:val="22"/>
        </w:rPr>
        <w:t xml:space="preserve">որն իր հերթին պայմանավորված է եղել օդային տրանսպորտով մատուցված ծառայությունների նվազմամբ: </w:t>
      </w:r>
    </w:p>
    <w:p w14:paraId="2D294B99" w14:textId="5D0A8074" w:rsidR="006426DA" w:rsidRPr="00A57F2B" w:rsidRDefault="006426DA" w:rsidP="006426DA">
      <w:pPr>
        <w:spacing w:line="276" w:lineRule="auto"/>
        <w:ind w:firstLine="567"/>
        <w:jc w:val="both"/>
        <w:rPr>
          <w:rFonts w:ascii="GHEA Grapalat" w:eastAsia="GHEA Grapalat" w:hAnsi="GHEA Grapalat" w:cs="GHEA Grapalat"/>
          <w:bCs/>
          <w:sz w:val="22"/>
          <w:szCs w:val="22"/>
          <w:highlight w:val="yellow"/>
        </w:rPr>
      </w:pPr>
      <w:r w:rsidRPr="0020461C">
        <w:rPr>
          <w:rFonts w:ascii="GHEA Grapalat" w:eastAsia="GHEA Grapalat" w:hAnsi="GHEA Grapalat" w:cs="GHEA Grapalat"/>
          <w:bCs/>
          <w:sz w:val="22"/>
          <w:szCs w:val="22"/>
        </w:rPr>
        <w:t xml:space="preserve">Առևտրի </w:t>
      </w:r>
      <w:r w:rsidR="00051103">
        <w:rPr>
          <w:rFonts w:ascii="GHEA Grapalat" w:eastAsia="GHEA Grapalat" w:hAnsi="GHEA Grapalat" w:cs="GHEA Grapalat"/>
          <w:bCs/>
          <w:sz w:val="22"/>
          <w:szCs w:val="22"/>
        </w:rPr>
        <w:t>3</w:t>
      </w:r>
      <w:r w:rsidRPr="0020461C">
        <w:rPr>
          <w:rFonts w:ascii="GHEA Grapalat" w:eastAsia="GHEA Grapalat" w:hAnsi="GHEA Grapalat" w:cs="GHEA Grapalat"/>
          <w:bCs/>
          <w:sz w:val="22"/>
          <w:szCs w:val="22"/>
        </w:rPr>
        <w:t xml:space="preserve">% աճը </w:t>
      </w:r>
      <w:r w:rsidRPr="00F55E6C">
        <w:rPr>
          <w:rFonts w:ascii="GHEA Grapalat" w:eastAsia="GHEA Grapalat" w:hAnsi="GHEA Grapalat" w:cs="GHEA Grapalat"/>
          <w:bCs/>
          <w:sz w:val="22"/>
          <w:szCs w:val="22"/>
        </w:rPr>
        <w:t xml:space="preserve">հիմնականում պայմանավորված է եղել մեծածախ և մանրածախ առևտրի աճերով (նպաստումները՝ համապատասխանաբար </w:t>
      </w:r>
      <w:r w:rsidRPr="00C46E46">
        <w:rPr>
          <w:rFonts w:ascii="GHEA Grapalat" w:eastAsia="GHEA Grapalat" w:hAnsi="GHEA Grapalat" w:cs="GHEA Grapalat"/>
          <w:bCs/>
          <w:sz w:val="22"/>
          <w:szCs w:val="22"/>
        </w:rPr>
        <w:t xml:space="preserve">1.4 և 1.2 տոկոսային կետեր)։ </w:t>
      </w:r>
      <w:r w:rsidRPr="00824D18">
        <w:rPr>
          <w:rFonts w:ascii="GHEA Grapalat" w:eastAsia="GHEA Grapalat" w:hAnsi="GHEA Grapalat" w:cs="GHEA Grapalat"/>
          <w:bCs/>
          <w:sz w:val="22"/>
          <w:szCs w:val="22"/>
        </w:rPr>
        <w:t xml:space="preserve">Առևտրի և ծառայությունների աճն ուղեկցվել է ներքին պահանջարկի </w:t>
      </w:r>
      <w:r w:rsidR="00051103" w:rsidRPr="00281BF6">
        <w:rPr>
          <w:rFonts w:ascii="GHEA Grapalat" w:eastAsia="GHEA Grapalat" w:hAnsi="GHEA Grapalat" w:cs="GHEA Grapalat"/>
          <w:bCs/>
          <w:sz w:val="22"/>
          <w:szCs w:val="22"/>
        </w:rPr>
        <w:t>(մասնավորապես՝ մասնավոր սպառման)</w:t>
      </w:r>
      <w:r w:rsidR="00051103" w:rsidRPr="00824D18">
        <w:rPr>
          <w:rFonts w:ascii="GHEA Grapalat" w:eastAsia="GHEA Grapalat" w:hAnsi="GHEA Grapalat" w:cs="GHEA Grapalat"/>
          <w:bCs/>
          <w:sz w:val="22"/>
          <w:szCs w:val="22"/>
        </w:rPr>
        <w:t xml:space="preserve"> </w:t>
      </w:r>
      <w:r w:rsidRPr="00824D18">
        <w:rPr>
          <w:rFonts w:ascii="GHEA Grapalat" w:eastAsia="GHEA Grapalat" w:hAnsi="GHEA Grapalat" w:cs="GHEA Grapalat"/>
          <w:bCs/>
          <w:sz w:val="22"/>
          <w:szCs w:val="22"/>
        </w:rPr>
        <w:t xml:space="preserve">աճով: </w:t>
      </w:r>
    </w:p>
    <w:p w14:paraId="2445F065" w14:textId="71696EB8" w:rsidR="006426DA" w:rsidRDefault="006426DA" w:rsidP="006426DA">
      <w:pPr>
        <w:spacing w:line="276" w:lineRule="auto"/>
        <w:ind w:firstLine="567"/>
        <w:jc w:val="both"/>
        <w:rPr>
          <w:rFonts w:ascii="GHEA Grapalat" w:eastAsia="GHEA Grapalat" w:hAnsi="GHEA Grapalat" w:cs="GHEA Grapalat"/>
          <w:bCs/>
          <w:sz w:val="22"/>
          <w:szCs w:val="22"/>
        </w:rPr>
      </w:pPr>
      <w:r w:rsidRPr="0056614B">
        <w:rPr>
          <w:rFonts w:ascii="GHEA Grapalat" w:eastAsia="GHEA Grapalat" w:hAnsi="GHEA Grapalat" w:cs="GHEA Grapalat"/>
          <w:bCs/>
          <w:sz w:val="22"/>
          <w:szCs w:val="22"/>
        </w:rPr>
        <w:t xml:space="preserve">Հաշվետու տարում բեռնափոխադրումների ծավալն աճել է, իսկ ուղևորափոխադրումների ծավալը՝ նվազել: Բեռնափոխադրումների ծավալի 3.1% աճը </w:t>
      </w:r>
      <w:r w:rsidRPr="003A1A79">
        <w:rPr>
          <w:rFonts w:ascii="GHEA Grapalat" w:eastAsia="GHEA Grapalat" w:hAnsi="GHEA Grapalat" w:cs="GHEA Grapalat"/>
          <w:bCs/>
          <w:sz w:val="22"/>
          <w:szCs w:val="22"/>
        </w:rPr>
        <w:t xml:space="preserve">հիմնականում պայմանավորված է եղել </w:t>
      </w:r>
      <w:r>
        <w:rPr>
          <w:rFonts w:ascii="GHEA Grapalat" w:eastAsia="GHEA Grapalat" w:hAnsi="GHEA Grapalat" w:cs="GHEA Grapalat"/>
          <w:bCs/>
          <w:sz w:val="22"/>
          <w:szCs w:val="22"/>
        </w:rPr>
        <w:t xml:space="preserve">ներկրված ավտոմոբիլային, </w:t>
      </w:r>
      <w:r w:rsidRPr="003A1A79">
        <w:rPr>
          <w:rFonts w:ascii="GHEA Grapalat" w:eastAsia="GHEA Grapalat" w:hAnsi="GHEA Grapalat" w:cs="GHEA Grapalat"/>
          <w:bCs/>
          <w:sz w:val="22"/>
          <w:szCs w:val="22"/>
        </w:rPr>
        <w:t xml:space="preserve">ներհանրապետական երկաթուղային բեռնափոխադրումների, ինչպես նաև երկաթուղով ներկրումների աճերով (նպաստումները՝ համապատասխանաբար </w:t>
      </w:r>
      <w:r>
        <w:rPr>
          <w:rFonts w:ascii="GHEA Grapalat" w:eastAsia="GHEA Grapalat" w:hAnsi="GHEA Grapalat" w:cs="GHEA Grapalat"/>
          <w:bCs/>
          <w:sz w:val="22"/>
          <w:szCs w:val="22"/>
        </w:rPr>
        <w:t xml:space="preserve">1.9, </w:t>
      </w:r>
      <w:r w:rsidRPr="004C0682">
        <w:rPr>
          <w:rFonts w:ascii="GHEA Grapalat" w:eastAsia="GHEA Grapalat" w:hAnsi="GHEA Grapalat" w:cs="GHEA Grapalat"/>
          <w:bCs/>
          <w:sz w:val="22"/>
          <w:szCs w:val="22"/>
        </w:rPr>
        <w:t xml:space="preserve">1.3 և 0.8 </w:t>
      </w:r>
      <w:r w:rsidRPr="004C0682">
        <w:rPr>
          <w:rFonts w:ascii="GHEA Grapalat" w:eastAsia="GHEA Grapalat" w:hAnsi="GHEA Grapalat" w:cs="GHEA Grapalat"/>
          <w:bCs/>
          <w:sz w:val="22"/>
          <w:szCs w:val="22"/>
        </w:rPr>
        <w:lastRenderedPageBreak/>
        <w:t xml:space="preserve">տոկոսային կետեր): </w:t>
      </w:r>
      <w:r w:rsidRPr="00E80C8A">
        <w:rPr>
          <w:rFonts w:ascii="GHEA Grapalat" w:eastAsia="GHEA Grapalat" w:hAnsi="GHEA Grapalat" w:cs="GHEA Grapalat"/>
          <w:bCs/>
          <w:sz w:val="22"/>
          <w:szCs w:val="22"/>
        </w:rPr>
        <w:t>Ուղևորափոխադրումների 2.3% նվազումը հիմնականում պայմանավորված է եղել էլեկտրատրանսպորտային ուղևորափոխադրումների նվազմամբ (բացասական նպաստումը՝ 2.6 տոկոսային կետ):</w:t>
      </w:r>
    </w:p>
    <w:p w14:paraId="2A2414EE" w14:textId="77777777" w:rsidR="006426DA" w:rsidRPr="00A57F2B" w:rsidRDefault="006426DA" w:rsidP="006426DA">
      <w:pPr>
        <w:spacing w:line="276" w:lineRule="auto"/>
        <w:ind w:firstLine="567"/>
        <w:jc w:val="both"/>
        <w:rPr>
          <w:rFonts w:ascii="GHEA Grapalat" w:eastAsia="GHEA Grapalat" w:hAnsi="GHEA Grapalat" w:cs="GHEA Grapalat"/>
          <w:bCs/>
          <w:sz w:val="22"/>
          <w:szCs w:val="22"/>
          <w:highlight w:val="yellow"/>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4"/>
        <w:gridCol w:w="4894"/>
      </w:tblGrid>
      <w:tr w:rsidR="004D343C" w:rsidRPr="00EA2F85" w14:paraId="009B47FB" w14:textId="77777777" w:rsidTr="0026046A">
        <w:trPr>
          <w:trHeight w:val="3846"/>
        </w:trPr>
        <w:tc>
          <w:tcPr>
            <w:tcW w:w="5314" w:type="dxa"/>
          </w:tcPr>
          <w:p w14:paraId="5709DA13" w14:textId="77777777" w:rsidR="004D343C" w:rsidRPr="00993E96" w:rsidRDefault="004D343C" w:rsidP="0026046A">
            <w:pPr>
              <w:tabs>
                <w:tab w:val="right" w:pos="0"/>
              </w:tabs>
              <w:spacing w:before="120" w:after="80"/>
              <w:rPr>
                <w:rFonts w:ascii="GHEA Grapalat" w:hAnsi="GHEA Grapalat" w:cs="Sylfaen"/>
                <w:i/>
                <w:sz w:val="18"/>
                <w:szCs w:val="18"/>
              </w:rPr>
            </w:pPr>
            <w:r w:rsidRPr="00C82108">
              <w:rPr>
                <w:rFonts w:ascii="GHEA Grapalat" w:hAnsi="GHEA Grapalat" w:cs="Sylfaen"/>
                <w:b/>
                <w:sz w:val="18"/>
                <w:szCs w:val="18"/>
              </w:rPr>
              <w:t>Գծապատկեր 6. ՏԱՑ և տնտեսության ճյուղերի իրական աճերը նախորդ տարվա նույն ժամանակահատվածի նկատմամբ (%)</w:t>
            </w:r>
            <w:r w:rsidRPr="00993E96">
              <w:rPr>
                <w:rFonts w:ascii="GHEA Grapalat" w:hAnsi="GHEA Grapalat" w:cs="Sylfaen"/>
                <w:i/>
                <w:sz w:val="18"/>
                <w:szCs w:val="18"/>
              </w:rPr>
              <w:t xml:space="preserve"> </w:t>
            </w:r>
          </w:p>
          <w:p w14:paraId="2FFFE62B" w14:textId="77777777" w:rsidR="004D343C" w:rsidRPr="00993E96" w:rsidRDefault="004D343C" w:rsidP="0026046A">
            <w:pPr>
              <w:tabs>
                <w:tab w:val="right" w:pos="0"/>
              </w:tabs>
              <w:spacing w:before="120" w:after="80"/>
              <w:rPr>
                <w:rFonts w:ascii="GHEA Grapalat" w:hAnsi="GHEA Grapalat"/>
                <w:sz w:val="16"/>
                <w:szCs w:val="16"/>
              </w:rPr>
            </w:pPr>
            <w:r w:rsidRPr="00993E96">
              <w:rPr>
                <w:rFonts w:ascii="GHEA Grapalat" w:hAnsi="GHEA Grapalat"/>
                <w:lang w:val="en-US"/>
              </w:rPr>
              <w:drawing>
                <wp:inline distT="0" distB="0" distL="0" distR="0" wp14:anchorId="2D869AE8" wp14:editId="1FF188DB">
                  <wp:extent cx="3228975" cy="2249170"/>
                  <wp:effectExtent l="0" t="0" r="9525" b="177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894" w:type="dxa"/>
          </w:tcPr>
          <w:p w14:paraId="072DBC3E" w14:textId="77777777" w:rsidR="004D343C" w:rsidRPr="00993E96" w:rsidRDefault="004D343C" w:rsidP="0026046A">
            <w:pPr>
              <w:tabs>
                <w:tab w:val="right" w:pos="0"/>
              </w:tabs>
              <w:spacing w:before="120"/>
              <w:rPr>
                <w:rFonts w:ascii="GHEA Grapalat" w:hAnsi="GHEA Grapalat" w:cs="Sylfaen"/>
                <w:sz w:val="18"/>
                <w:szCs w:val="18"/>
              </w:rPr>
            </w:pPr>
            <w:r w:rsidRPr="001A6599">
              <w:rPr>
                <w:rStyle w:val="Char0"/>
                <w:lang w:val="en-US"/>
              </w:rPr>
              <w:drawing>
                <wp:anchor distT="0" distB="0" distL="114300" distR="114300" simplePos="0" relativeHeight="251689472" behindDoc="1" locked="0" layoutInCell="1" allowOverlap="1" wp14:anchorId="101BF37B" wp14:editId="1B5878D2">
                  <wp:simplePos x="0" y="0"/>
                  <wp:positionH relativeFrom="column">
                    <wp:posOffset>-29210</wp:posOffset>
                  </wp:positionH>
                  <wp:positionV relativeFrom="paragraph">
                    <wp:posOffset>687705</wp:posOffset>
                  </wp:positionV>
                  <wp:extent cx="2952750" cy="2219325"/>
                  <wp:effectExtent l="0" t="0" r="0" b="9525"/>
                  <wp:wrapTight wrapText="bothSides">
                    <wp:wrapPolygon edited="0">
                      <wp:start x="0" y="0"/>
                      <wp:lineTo x="0" y="21507"/>
                      <wp:lineTo x="21461" y="21507"/>
                      <wp:lineTo x="21461" y="0"/>
                      <wp:lineTo x="0" y="0"/>
                    </wp:wrapPolygon>
                  </wp:wrapTight>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Pr="001A6599">
              <w:rPr>
                <w:rStyle w:val="Char0"/>
              </w:rPr>
              <w:t>Գծապատկեր 7.</w:t>
            </w:r>
            <w:r w:rsidRPr="001A6599">
              <w:rPr>
                <w:rFonts w:ascii="GHEA Grapalat" w:hAnsi="GHEA Grapalat" w:cs="Sylfaen"/>
                <w:sz w:val="18"/>
                <w:szCs w:val="18"/>
              </w:rPr>
              <w:t xml:space="preserve"> </w:t>
            </w:r>
            <w:r w:rsidRPr="001A6599">
              <w:rPr>
                <w:rFonts w:ascii="GHEA Grapalat" w:hAnsi="GHEA Grapalat" w:cs="Sylfaen"/>
                <w:b/>
                <w:sz w:val="18"/>
                <w:szCs w:val="18"/>
              </w:rPr>
              <w:t>ՏԱՑ և տնտեսության ճյուղերի իրական աճերը նախորդ տարվա</w:t>
            </w:r>
            <w:r w:rsidRPr="001A6599">
              <w:rPr>
                <w:rFonts w:ascii="GHEA Grapalat" w:hAnsi="GHEA Grapalat" w:cs="Sylfaen"/>
                <w:sz w:val="18"/>
                <w:szCs w:val="18"/>
              </w:rPr>
              <w:t xml:space="preserve"> </w:t>
            </w:r>
            <w:r w:rsidRPr="001A6599">
              <w:rPr>
                <w:rFonts w:ascii="GHEA Grapalat" w:hAnsi="GHEA Grapalat" w:cs="Sylfaen"/>
                <w:b/>
                <w:sz w:val="18"/>
                <w:szCs w:val="18"/>
              </w:rPr>
              <w:t>նույն ամսվա նկատմամբ (%)</w:t>
            </w:r>
          </w:p>
        </w:tc>
      </w:tr>
      <w:tr w:rsidR="004D343C" w:rsidRPr="00EA2F85" w14:paraId="4FF94397" w14:textId="77777777" w:rsidTr="0026046A">
        <w:trPr>
          <w:trHeight w:val="450"/>
        </w:trPr>
        <w:tc>
          <w:tcPr>
            <w:tcW w:w="5314" w:type="dxa"/>
          </w:tcPr>
          <w:p w14:paraId="60251729" w14:textId="77777777" w:rsidR="004D343C" w:rsidRPr="00993E96" w:rsidRDefault="004D343C" w:rsidP="0026046A">
            <w:pPr>
              <w:tabs>
                <w:tab w:val="right" w:pos="0"/>
              </w:tabs>
              <w:spacing w:before="120" w:after="60"/>
              <w:contextualSpacing/>
              <w:rPr>
                <w:rFonts w:ascii="GHEA Grapalat" w:hAnsi="GHEA Grapalat" w:cs="Sylfaen"/>
                <w:b/>
                <w:bCs/>
                <w:i/>
                <w:sz w:val="6"/>
                <w:szCs w:val="6"/>
              </w:rPr>
            </w:pPr>
            <w:r w:rsidRPr="00993E96">
              <w:rPr>
                <w:rFonts w:ascii="GHEA Grapalat" w:hAnsi="GHEA Grapalat"/>
                <w:i/>
                <w:sz w:val="16"/>
                <w:szCs w:val="16"/>
              </w:rPr>
              <w:t>Աղբյուր</w:t>
            </w:r>
            <w:r w:rsidRPr="00993E96">
              <w:rPr>
                <w:rFonts w:ascii="GHEA Grapalat" w:hAnsi="GHEA Grapalat"/>
                <w:i/>
                <w:sz w:val="16"/>
                <w:szCs w:val="16"/>
                <w:lang w:val="en-US"/>
              </w:rPr>
              <w:t>.</w:t>
            </w:r>
            <w:r w:rsidRPr="00993E96">
              <w:rPr>
                <w:rFonts w:ascii="GHEA Grapalat" w:hAnsi="GHEA Grapalat"/>
                <w:i/>
                <w:sz w:val="16"/>
                <w:szCs w:val="16"/>
              </w:rPr>
              <w:t xml:space="preserve"> ՀՀ վիճակագրական կոմիտե</w:t>
            </w:r>
          </w:p>
        </w:tc>
        <w:tc>
          <w:tcPr>
            <w:tcW w:w="4894" w:type="dxa"/>
          </w:tcPr>
          <w:p w14:paraId="09F67BD5" w14:textId="77777777" w:rsidR="004D343C" w:rsidRPr="00993E96" w:rsidRDefault="004D343C" w:rsidP="0026046A">
            <w:pPr>
              <w:tabs>
                <w:tab w:val="right" w:pos="0"/>
              </w:tabs>
              <w:spacing w:before="120" w:after="60"/>
              <w:contextualSpacing/>
              <w:jc w:val="both"/>
              <w:rPr>
                <w:rFonts w:ascii="GHEA Grapalat" w:hAnsi="GHEA Grapalat" w:cs="Sylfaen"/>
                <w:b/>
                <w:i/>
                <w:sz w:val="4"/>
                <w:szCs w:val="4"/>
                <w:lang w:val="en-US"/>
              </w:rPr>
            </w:pPr>
            <w:r w:rsidRPr="00993E96">
              <w:rPr>
                <w:rFonts w:ascii="GHEA Grapalat" w:hAnsi="GHEA Grapalat"/>
                <w:i/>
                <w:sz w:val="16"/>
                <w:szCs w:val="16"/>
              </w:rPr>
              <w:t>Աղբյուր</w:t>
            </w:r>
            <w:r w:rsidRPr="00993E96">
              <w:rPr>
                <w:rFonts w:ascii="GHEA Grapalat" w:hAnsi="GHEA Grapalat"/>
                <w:i/>
                <w:sz w:val="16"/>
                <w:szCs w:val="16"/>
                <w:lang w:val="en-US"/>
              </w:rPr>
              <w:t>.</w:t>
            </w:r>
            <w:r w:rsidRPr="00993E96">
              <w:rPr>
                <w:rFonts w:ascii="GHEA Grapalat" w:hAnsi="GHEA Grapalat"/>
                <w:i/>
                <w:sz w:val="16"/>
                <w:szCs w:val="16"/>
              </w:rPr>
              <w:t xml:space="preserve"> ՀՀ վիճակագրական կոմիտե</w:t>
            </w:r>
          </w:p>
        </w:tc>
      </w:tr>
      <w:tr w:rsidR="004D343C" w:rsidRPr="00EA2F85" w14:paraId="2319BD79" w14:textId="77777777" w:rsidTr="0026046A">
        <w:trPr>
          <w:trHeight w:val="450"/>
        </w:trPr>
        <w:tc>
          <w:tcPr>
            <w:tcW w:w="5314" w:type="dxa"/>
          </w:tcPr>
          <w:p w14:paraId="28A2CDF3" w14:textId="77777777" w:rsidR="004D343C" w:rsidRPr="00993E96" w:rsidRDefault="004D343C" w:rsidP="0026046A">
            <w:pPr>
              <w:tabs>
                <w:tab w:val="right" w:pos="0"/>
              </w:tabs>
              <w:spacing w:before="120" w:after="60"/>
              <w:contextualSpacing/>
              <w:rPr>
                <w:rFonts w:ascii="GHEA Grapalat" w:hAnsi="GHEA Grapalat" w:cs="Sylfaen"/>
                <w:b/>
                <w:sz w:val="18"/>
                <w:szCs w:val="18"/>
              </w:rPr>
            </w:pPr>
            <w:r w:rsidRPr="00BE1263">
              <w:rPr>
                <w:rFonts w:ascii="GHEA Grapalat" w:hAnsi="GHEA Grapalat" w:cs="Sylfaen"/>
                <w:b/>
                <w:sz w:val="18"/>
                <w:szCs w:val="18"/>
              </w:rPr>
              <w:t>Գծապատկեր 8. Տնտեսության ճյուղերի նպաստումները ՏԱՑ-ին (տ.կ.)</w:t>
            </w:r>
            <w:r w:rsidRPr="00BE1263">
              <w:rPr>
                <w:rFonts w:ascii="GHEA Grapalat" w:hAnsi="GHEA Grapalat" w:cs="Sylfaen"/>
                <w:b/>
                <w:sz w:val="18"/>
                <w:szCs w:val="18"/>
                <w:vertAlign w:val="superscript"/>
              </w:rPr>
              <w:footnoteReference w:id="10"/>
            </w:r>
            <w:r w:rsidRPr="00993E96">
              <w:rPr>
                <w:rFonts w:ascii="GHEA Grapalat" w:hAnsi="GHEA Grapalat" w:cs="Sylfaen"/>
                <w:b/>
                <w:sz w:val="18"/>
                <w:szCs w:val="18"/>
              </w:rPr>
              <w:t xml:space="preserve"> </w:t>
            </w:r>
          </w:p>
          <w:p w14:paraId="08C3B1CE" w14:textId="77777777" w:rsidR="004D343C" w:rsidRPr="00993E96" w:rsidRDefault="004D343C" w:rsidP="0026046A">
            <w:pPr>
              <w:tabs>
                <w:tab w:val="right" w:pos="0"/>
              </w:tabs>
              <w:spacing w:before="120" w:after="60"/>
              <w:contextualSpacing/>
              <w:rPr>
                <w:rFonts w:ascii="GHEA Grapalat" w:hAnsi="GHEA Grapalat" w:cs="Sylfaen"/>
                <w:i/>
                <w:sz w:val="16"/>
                <w:szCs w:val="16"/>
              </w:rPr>
            </w:pPr>
            <w:r w:rsidRPr="00993E96">
              <w:rPr>
                <w:rFonts w:ascii="GHEA Grapalat" w:hAnsi="GHEA Grapalat"/>
                <w:i/>
                <w:sz w:val="16"/>
                <w:szCs w:val="16"/>
                <w:lang w:val="en-US"/>
              </w:rPr>
              <w:drawing>
                <wp:inline distT="0" distB="0" distL="0" distR="0" wp14:anchorId="2C1FE08A" wp14:editId="5DF5D636">
                  <wp:extent cx="3095625" cy="1929283"/>
                  <wp:effectExtent l="0" t="0" r="9525" b="139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688ED19" w14:textId="77777777" w:rsidR="004D343C" w:rsidRPr="00993E96" w:rsidRDefault="004D343C" w:rsidP="0026046A">
            <w:pPr>
              <w:tabs>
                <w:tab w:val="right" w:pos="0"/>
              </w:tabs>
              <w:spacing w:before="120" w:after="60"/>
              <w:contextualSpacing/>
              <w:jc w:val="both"/>
              <w:rPr>
                <w:rFonts w:ascii="GHEA Grapalat" w:hAnsi="GHEA Grapalat" w:cs="Sylfaen"/>
              </w:rPr>
            </w:pPr>
            <w:r w:rsidRPr="00993E96">
              <w:rPr>
                <w:rFonts w:ascii="GHEA Grapalat" w:hAnsi="GHEA Grapalat"/>
                <w:i/>
                <w:sz w:val="16"/>
                <w:szCs w:val="16"/>
              </w:rPr>
              <w:t>Աղբյուր. ՀՀ վիճակագրական կոմիտե, ՀՀ ՖՆ հաշվարկներ</w:t>
            </w:r>
            <w:r w:rsidRPr="00993E96">
              <w:rPr>
                <w:rFonts w:ascii="GHEA Grapalat" w:hAnsi="GHEA Grapalat"/>
              </w:rPr>
              <w:t xml:space="preserve"> </w:t>
            </w:r>
          </w:p>
        </w:tc>
        <w:tc>
          <w:tcPr>
            <w:tcW w:w="4894" w:type="dxa"/>
          </w:tcPr>
          <w:p w14:paraId="5DFCB9F0" w14:textId="77777777" w:rsidR="004D343C" w:rsidRPr="00993E96" w:rsidRDefault="004D343C" w:rsidP="0026046A">
            <w:pPr>
              <w:tabs>
                <w:tab w:val="right" w:pos="0"/>
              </w:tabs>
              <w:spacing w:before="120" w:after="60"/>
              <w:contextualSpacing/>
              <w:rPr>
                <w:rFonts w:ascii="GHEA Grapalat" w:hAnsi="GHEA Grapalat"/>
              </w:rPr>
            </w:pPr>
            <w:r w:rsidRPr="00CF0AEE">
              <w:rPr>
                <w:rFonts w:ascii="GHEA Grapalat" w:hAnsi="GHEA Grapalat" w:cs="Sylfaen"/>
                <w:b/>
                <w:sz w:val="18"/>
                <w:szCs w:val="18"/>
              </w:rPr>
              <w:t>Գծապատկեր 9. Տնտեսության ճյուղերի նպաստումները ՏԱՑ-ին նախորդ տարվա նույն ամսվա նկատմամբ (տ.կ.)</w:t>
            </w:r>
            <w:r w:rsidRPr="00993E96">
              <w:rPr>
                <w:rFonts w:ascii="GHEA Grapalat" w:hAnsi="GHEA Grapalat" w:cs="Sylfaen"/>
                <w:i/>
                <w:sz w:val="22"/>
                <w:szCs w:val="16"/>
                <w:vertAlign w:val="superscript"/>
              </w:rPr>
              <w:t xml:space="preserve"> </w:t>
            </w:r>
            <w:r w:rsidRPr="00993E96">
              <w:rPr>
                <w:rFonts w:ascii="GHEA Grapalat" w:hAnsi="GHEA Grapalat"/>
                <w:lang w:val="en-US"/>
              </w:rPr>
              <w:drawing>
                <wp:inline distT="0" distB="0" distL="0" distR="0" wp14:anchorId="3B27CBC8" wp14:editId="00C17C4B">
                  <wp:extent cx="2963545" cy="1914525"/>
                  <wp:effectExtent l="0" t="0" r="8255"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3760E92" w14:textId="77777777" w:rsidR="004D343C" w:rsidRPr="00993E96" w:rsidRDefault="004D343C" w:rsidP="0026046A">
            <w:pPr>
              <w:spacing w:before="40" w:after="60"/>
              <w:jc w:val="both"/>
              <w:rPr>
                <w:rFonts w:ascii="GHEA Grapalat" w:hAnsi="GHEA Grapalat"/>
                <w:i/>
                <w:sz w:val="16"/>
                <w:szCs w:val="16"/>
              </w:rPr>
            </w:pPr>
            <w:r w:rsidRPr="00993E96">
              <w:rPr>
                <w:rFonts w:ascii="GHEA Grapalat" w:hAnsi="GHEA Grapalat"/>
                <w:i/>
                <w:sz w:val="16"/>
                <w:szCs w:val="16"/>
              </w:rPr>
              <w:t>Աղբյուր. ՀՀ վիճակագրական կոմիտե, ՀՀ ՖՆ հաշվարկներ</w:t>
            </w:r>
          </w:p>
        </w:tc>
      </w:tr>
    </w:tbl>
    <w:p w14:paraId="3D1980F3" w14:textId="77777777" w:rsidR="006426DA" w:rsidRPr="00481AF4" w:rsidRDefault="006426DA" w:rsidP="00481AF4">
      <w:pPr>
        <w:spacing w:line="276" w:lineRule="auto"/>
        <w:ind w:firstLine="567"/>
        <w:jc w:val="both"/>
        <w:rPr>
          <w:rFonts w:ascii="GHEA Grapalat" w:eastAsia="GHEA Grapalat" w:hAnsi="GHEA Grapalat" w:cs="GHEA Grapalat"/>
          <w:sz w:val="22"/>
          <w:szCs w:val="22"/>
        </w:rPr>
      </w:pPr>
    </w:p>
    <w:p w14:paraId="1674CFBC" w14:textId="77777777" w:rsidR="006426DA" w:rsidRPr="000548D1" w:rsidRDefault="006426DA" w:rsidP="006426DA">
      <w:pPr>
        <w:spacing w:line="276" w:lineRule="auto"/>
        <w:ind w:firstLine="567"/>
        <w:jc w:val="both"/>
        <w:rPr>
          <w:rFonts w:ascii="GHEA Grapalat" w:eastAsia="GHEA Grapalat" w:hAnsi="GHEA Grapalat" w:cs="Sylfaen"/>
          <w:b/>
          <w:sz w:val="22"/>
          <w:szCs w:val="22"/>
        </w:rPr>
      </w:pPr>
      <w:r w:rsidRPr="000548D1">
        <w:rPr>
          <w:rFonts w:ascii="GHEA Grapalat" w:eastAsia="GHEA Grapalat" w:hAnsi="GHEA Grapalat" w:cs="Sylfaen"/>
          <w:b/>
          <w:i/>
          <w:sz w:val="22"/>
          <w:szCs w:val="22"/>
        </w:rPr>
        <w:t>Համախառն պահանջարկ:</w:t>
      </w:r>
      <w:r w:rsidRPr="000548D1">
        <w:rPr>
          <w:rFonts w:ascii="GHEA Grapalat" w:eastAsia="GHEA Grapalat" w:hAnsi="GHEA Grapalat" w:cs="Sylfaen"/>
          <w:b/>
          <w:sz w:val="22"/>
          <w:szCs w:val="22"/>
        </w:rPr>
        <w:t xml:space="preserve"> </w:t>
      </w:r>
      <w:r w:rsidRPr="000548D1">
        <w:rPr>
          <w:rFonts w:ascii="GHEA Grapalat" w:eastAsia="GHEA Grapalat" w:hAnsi="GHEA Grapalat" w:cs="GHEA Grapalat"/>
          <w:sz w:val="22"/>
          <w:szCs w:val="22"/>
        </w:rPr>
        <w:t>2025թ. տնտեսական աճն ուղեկցվել է ինչպես ներքին, այնպես էլ հայկական ծագման ապրանքների</w:t>
      </w:r>
      <w:r>
        <w:rPr>
          <w:rFonts w:ascii="GHEA Grapalat" w:eastAsia="GHEA Grapalat" w:hAnsi="GHEA Grapalat" w:cs="GHEA Grapalat"/>
          <w:sz w:val="22"/>
          <w:szCs w:val="22"/>
        </w:rPr>
        <w:t xml:space="preserve"> նկատմամբ</w:t>
      </w:r>
      <w:r w:rsidRPr="000548D1">
        <w:rPr>
          <w:rFonts w:ascii="GHEA Grapalat" w:eastAsia="GHEA Grapalat" w:hAnsi="GHEA Grapalat" w:cs="GHEA Grapalat"/>
          <w:sz w:val="22"/>
          <w:szCs w:val="22"/>
        </w:rPr>
        <w:t xml:space="preserve"> արտաքին պահանջարկի աճով:</w:t>
      </w:r>
      <w:r w:rsidRPr="000548D1">
        <w:rPr>
          <w:rFonts w:ascii="GHEA Grapalat" w:eastAsia="GHEA Grapalat" w:hAnsi="GHEA Grapalat" w:cs="Sylfaen"/>
          <w:b/>
          <w:sz w:val="22"/>
          <w:szCs w:val="22"/>
        </w:rPr>
        <w:t xml:space="preserve"> </w:t>
      </w:r>
    </w:p>
    <w:p w14:paraId="6172B503" w14:textId="1E2F733D" w:rsidR="006426DA" w:rsidRDefault="006426DA" w:rsidP="006426DA">
      <w:pPr>
        <w:spacing w:line="276" w:lineRule="auto"/>
        <w:ind w:firstLine="567"/>
        <w:jc w:val="both"/>
        <w:rPr>
          <w:rFonts w:ascii="GHEA Grapalat" w:eastAsia="GHEA Grapalat" w:hAnsi="GHEA Grapalat" w:cs="GHEA Grapalat"/>
          <w:bCs/>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8"/>
        <w:gridCol w:w="5030"/>
      </w:tblGrid>
      <w:tr w:rsidR="004D343C" w:rsidRPr="000548D1" w14:paraId="6FB4894F" w14:textId="77777777" w:rsidTr="0026046A">
        <w:trPr>
          <w:trHeight w:val="3846"/>
        </w:trPr>
        <w:tc>
          <w:tcPr>
            <w:tcW w:w="5556" w:type="dxa"/>
          </w:tcPr>
          <w:p w14:paraId="2A77FA31" w14:textId="77777777" w:rsidR="004D343C" w:rsidRPr="000548D1" w:rsidRDefault="004D343C" w:rsidP="0026046A">
            <w:pPr>
              <w:tabs>
                <w:tab w:val="right" w:pos="0"/>
              </w:tabs>
              <w:spacing w:before="120" w:after="60"/>
              <w:rPr>
                <w:rFonts w:ascii="GHEA Grapalat" w:hAnsi="GHEA Grapalat" w:cs="Sylfaen"/>
                <w:b/>
                <w:sz w:val="18"/>
                <w:szCs w:val="18"/>
              </w:rPr>
            </w:pPr>
            <w:r w:rsidRPr="000548D1">
              <w:rPr>
                <w:rFonts w:ascii="GHEA Grapalat" w:hAnsi="GHEA Grapalat" w:cs="Sylfaen"/>
                <w:b/>
                <w:sz w:val="18"/>
                <w:szCs w:val="18"/>
              </w:rPr>
              <w:lastRenderedPageBreak/>
              <w:t>Գծապատկեր 10. ՀՆԱ-ի իրական աճը (%) և նպաստումները (տ.կ.) նախորդ տարվա նկատմամբ</w:t>
            </w:r>
          </w:p>
          <w:p w14:paraId="57C5F70D" w14:textId="77777777" w:rsidR="004D343C" w:rsidRPr="000548D1" w:rsidRDefault="004D343C" w:rsidP="0026046A">
            <w:pPr>
              <w:tabs>
                <w:tab w:val="right" w:pos="0"/>
              </w:tabs>
              <w:spacing w:before="120" w:after="60"/>
              <w:contextualSpacing/>
              <w:rPr>
                <w:rFonts w:ascii="GHEA Grapalat" w:hAnsi="GHEA Grapalat" w:cs="Sylfaen"/>
                <w:i/>
                <w:sz w:val="16"/>
                <w:szCs w:val="16"/>
              </w:rPr>
            </w:pPr>
            <w:r w:rsidRPr="000548D1">
              <w:rPr>
                <w:rFonts w:ascii="GHEA Grapalat" w:hAnsi="GHEA Grapalat"/>
                <w:lang w:val="en-US"/>
              </w:rPr>
              <w:drawing>
                <wp:inline distT="0" distB="0" distL="0" distR="0" wp14:anchorId="7C049AC6" wp14:editId="57B2A087">
                  <wp:extent cx="3171825" cy="1816100"/>
                  <wp:effectExtent l="0" t="0" r="9525" b="1270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0A391FA" w14:textId="77777777" w:rsidR="004D343C" w:rsidRPr="000548D1" w:rsidRDefault="004D343C" w:rsidP="0026046A">
            <w:pPr>
              <w:tabs>
                <w:tab w:val="right" w:pos="0"/>
              </w:tabs>
              <w:spacing w:before="120" w:after="60"/>
              <w:contextualSpacing/>
              <w:rPr>
                <w:rStyle w:val="Char0"/>
              </w:rPr>
            </w:pPr>
            <w:r w:rsidRPr="000548D1">
              <w:rPr>
                <w:rFonts w:ascii="GHEA Grapalat" w:hAnsi="GHEA Grapalat"/>
                <w:i/>
                <w:sz w:val="16"/>
                <w:szCs w:val="16"/>
              </w:rPr>
              <w:t>Աղբյուր. ՀՀ վիճակագրական կոմիտե, ՀՀ ՖՆ հաշվարկներ</w:t>
            </w:r>
          </w:p>
        </w:tc>
        <w:tc>
          <w:tcPr>
            <w:tcW w:w="5187" w:type="dxa"/>
          </w:tcPr>
          <w:p w14:paraId="7E23FF01" w14:textId="77777777" w:rsidR="004D343C" w:rsidRPr="000548D1" w:rsidRDefault="004D343C" w:rsidP="0026046A">
            <w:pPr>
              <w:tabs>
                <w:tab w:val="right" w:pos="0"/>
              </w:tabs>
              <w:spacing w:before="120" w:after="60" w:line="240" w:lineRule="auto"/>
              <w:rPr>
                <w:rFonts w:ascii="GHEA Grapalat" w:hAnsi="GHEA Grapalat" w:cs="Sylfaen"/>
                <w:b/>
                <w:sz w:val="18"/>
                <w:szCs w:val="18"/>
              </w:rPr>
            </w:pPr>
            <w:r w:rsidRPr="000548D1">
              <w:rPr>
                <w:rFonts w:ascii="GHEA Grapalat" w:hAnsi="GHEA Grapalat" w:cs="Sylfaen"/>
                <w:b/>
                <w:sz w:val="18"/>
                <w:szCs w:val="18"/>
              </w:rPr>
              <w:t>Գծապատկեր 11</w:t>
            </w:r>
            <w:r w:rsidRPr="000548D1">
              <w:rPr>
                <w:rFonts w:ascii="GHEA Grapalat" w:hAnsi="GHEA Grapalat" w:cs="Sylfaen"/>
                <w:b/>
                <w:sz w:val="18"/>
                <w:szCs w:val="18"/>
                <w:lang w:val="en-US"/>
              </w:rPr>
              <w:t>.</w:t>
            </w:r>
            <w:r w:rsidRPr="000548D1">
              <w:rPr>
                <w:rFonts w:ascii="GHEA Grapalat" w:hAnsi="GHEA Grapalat" w:cs="Sylfaen"/>
                <w:b/>
                <w:sz w:val="18"/>
                <w:szCs w:val="18"/>
              </w:rPr>
              <w:t xml:space="preserve"> ՀՆԱ-ի կառուցվածքը (%)</w:t>
            </w:r>
          </w:p>
          <w:p w14:paraId="45FACBBD" w14:textId="77777777" w:rsidR="004D343C" w:rsidRPr="000548D1" w:rsidRDefault="004D343C" w:rsidP="0026046A">
            <w:pPr>
              <w:tabs>
                <w:tab w:val="right" w:pos="0"/>
              </w:tabs>
              <w:spacing w:after="60" w:line="240" w:lineRule="auto"/>
              <w:rPr>
                <w:rFonts w:ascii="GHEA Grapalat" w:hAnsi="GHEA Grapalat" w:cs="Sylfaen"/>
                <w:b/>
                <w:sz w:val="18"/>
                <w:szCs w:val="18"/>
              </w:rPr>
            </w:pPr>
          </w:p>
          <w:p w14:paraId="4166ED99" w14:textId="77777777" w:rsidR="004D343C" w:rsidRPr="000548D1" w:rsidRDefault="004D343C" w:rsidP="0026046A">
            <w:pPr>
              <w:tabs>
                <w:tab w:val="right" w:pos="0"/>
              </w:tabs>
              <w:spacing w:after="0"/>
              <w:contextualSpacing/>
              <w:rPr>
                <w:rFonts w:ascii="GHEA Grapalat" w:hAnsi="GHEA Grapalat" w:cs="Sylfaen"/>
                <w:i/>
                <w:sz w:val="16"/>
                <w:szCs w:val="16"/>
              </w:rPr>
            </w:pPr>
            <w:r w:rsidRPr="000548D1">
              <w:rPr>
                <w:rFonts w:ascii="GHEA Grapalat" w:hAnsi="GHEA Grapalat"/>
                <w:sz w:val="16"/>
                <w:szCs w:val="16"/>
                <w:lang w:val="en-US"/>
              </w:rPr>
              <w:drawing>
                <wp:inline distT="0" distB="0" distL="0" distR="0" wp14:anchorId="7AC54BF5" wp14:editId="7DFFEBF0">
                  <wp:extent cx="3086100" cy="1854200"/>
                  <wp:effectExtent l="0" t="0" r="0" b="1270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4B5DB8D" w14:textId="77777777" w:rsidR="004D343C" w:rsidRPr="000548D1" w:rsidRDefault="004D343C" w:rsidP="0026046A">
            <w:pPr>
              <w:tabs>
                <w:tab w:val="right" w:pos="0"/>
              </w:tabs>
              <w:spacing w:before="120" w:after="60"/>
              <w:contextualSpacing/>
              <w:rPr>
                <w:rStyle w:val="Char0"/>
              </w:rPr>
            </w:pPr>
            <w:r w:rsidRPr="000548D1">
              <w:rPr>
                <w:rFonts w:ascii="GHEA Grapalat" w:hAnsi="GHEA Grapalat"/>
                <w:i/>
                <w:sz w:val="16"/>
                <w:szCs w:val="16"/>
              </w:rPr>
              <w:t>Աղբյուր. ՀՀ վիճակագրական կոմիտե, ՀՀ ՖՆ հաշվարկներ</w:t>
            </w:r>
          </w:p>
        </w:tc>
      </w:tr>
    </w:tbl>
    <w:p w14:paraId="1D649A71" w14:textId="77777777" w:rsidR="004D343C" w:rsidRPr="000548D1" w:rsidRDefault="004D343C" w:rsidP="006426DA">
      <w:pPr>
        <w:spacing w:line="276" w:lineRule="auto"/>
        <w:ind w:firstLine="567"/>
        <w:jc w:val="both"/>
        <w:rPr>
          <w:rFonts w:ascii="GHEA Grapalat" w:eastAsia="GHEA Grapalat" w:hAnsi="GHEA Grapalat" w:cs="GHEA Grapalat"/>
          <w:bCs/>
          <w:sz w:val="22"/>
          <w:szCs w:val="22"/>
        </w:rPr>
      </w:pPr>
    </w:p>
    <w:p w14:paraId="08971919" w14:textId="77777777" w:rsidR="006426DA" w:rsidRPr="000548D1" w:rsidRDefault="006426DA" w:rsidP="006426DA">
      <w:pPr>
        <w:spacing w:line="276" w:lineRule="auto"/>
        <w:ind w:firstLine="567"/>
        <w:jc w:val="both"/>
        <w:rPr>
          <w:rFonts w:ascii="GHEA Grapalat" w:eastAsia="GHEA Grapalat" w:hAnsi="GHEA Grapalat" w:cs="GHEA Grapalat"/>
          <w:bCs/>
          <w:sz w:val="22"/>
          <w:szCs w:val="22"/>
        </w:rPr>
      </w:pPr>
      <w:r w:rsidRPr="000548D1">
        <w:rPr>
          <w:rFonts w:ascii="GHEA Grapalat" w:eastAsia="GHEA Grapalat" w:hAnsi="GHEA Grapalat" w:cs="GHEA Grapalat"/>
          <w:b/>
          <w:bCs/>
          <w:i/>
          <w:iCs/>
          <w:sz w:val="22"/>
          <w:szCs w:val="22"/>
        </w:rPr>
        <w:t>Սպառում։</w:t>
      </w:r>
      <w:r w:rsidRPr="000548D1">
        <w:rPr>
          <w:rFonts w:ascii="GHEA Grapalat" w:eastAsia="GHEA Grapalat" w:hAnsi="GHEA Grapalat" w:cs="GHEA Grapalat"/>
          <w:sz w:val="22"/>
          <w:szCs w:val="22"/>
        </w:rPr>
        <w:t xml:space="preserve"> </w:t>
      </w:r>
      <w:r w:rsidRPr="000548D1">
        <w:rPr>
          <w:rFonts w:ascii="GHEA Grapalat" w:eastAsia="GHEA Grapalat" w:hAnsi="GHEA Grapalat" w:cs="GHEA Grapalat"/>
          <w:bCs/>
          <w:sz w:val="22"/>
          <w:szCs w:val="22"/>
        </w:rPr>
        <w:t>2025թ. սպառումն իրական արտահայտությամբ աճել է 9.9%-ով՝ հիմնականում պայմանավորված մասնավոր սպառման աճով: Մասնավոր սպառման աճին նպաստել են բնակչության տնօրինվող եկամտի և սպառողական վարկավորման աճերը: Պետական սպառման աճը ևս նպաստել է ընդհանուր սպառման աճին:</w:t>
      </w:r>
    </w:p>
    <w:p w14:paraId="27AA81DD" w14:textId="5F99BD98" w:rsidR="006426DA" w:rsidRPr="00E86D96" w:rsidRDefault="006426DA" w:rsidP="006426DA">
      <w:pPr>
        <w:spacing w:line="276" w:lineRule="auto"/>
        <w:ind w:firstLine="567"/>
        <w:jc w:val="both"/>
        <w:rPr>
          <w:rFonts w:ascii="GHEA Grapalat" w:eastAsia="GHEA Grapalat" w:hAnsi="GHEA Grapalat" w:cs="GHEA Grapalat"/>
          <w:bCs/>
          <w:sz w:val="22"/>
          <w:szCs w:val="22"/>
        </w:rPr>
      </w:pPr>
      <w:r w:rsidRPr="000548D1">
        <w:rPr>
          <w:rFonts w:ascii="GHEA Grapalat" w:eastAsia="GHEA Grapalat" w:hAnsi="GHEA Grapalat" w:cs="GHEA Grapalat"/>
          <w:b/>
          <w:bCs/>
          <w:i/>
          <w:iCs/>
          <w:sz w:val="22"/>
          <w:szCs w:val="22"/>
        </w:rPr>
        <w:t>Ներդրումներ։</w:t>
      </w:r>
      <w:r w:rsidRPr="000548D1">
        <w:rPr>
          <w:rFonts w:ascii="GHEA Grapalat" w:eastAsia="GHEA Grapalat" w:hAnsi="GHEA Grapalat" w:cs="GHEA Grapalat"/>
          <w:sz w:val="22"/>
          <w:szCs w:val="22"/>
        </w:rPr>
        <w:t xml:space="preserve"> </w:t>
      </w:r>
      <w:r w:rsidRPr="000548D1">
        <w:rPr>
          <w:rFonts w:ascii="GHEA Grapalat" w:eastAsia="GHEA Grapalat" w:hAnsi="GHEA Grapalat" w:cs="GHEA Grapalat"/>
          <w:bCs/>
          <w:sz w:val="22"/>
          <w:szCs w:val="22"/>
        </w:rPr>
        <w:t xml:space="preserve">Հաշվետու տարում կապիտալ ներդրումները նախորդ տարվա նկատմամբ իրական արտահայտությամբ աճել են 15.6%-ով՝ պայմանավորված ինչպես պետական, այնպես էլ մասնավոր ներդրումների աճով: Մասնավոր ներդրումների աճի վրա դրական ազդեցություն </w:t>
      </w:r>
      <w:r w:rsidR="00B26D2F" w:rsidRPr="00493BAB">
        <w:rPr>
          <w:rFonts w:ascii="GHEA Grapalat" w:eastAsia="GHEA Grapalat" w:hAnsi="GHEA Grapalat" w:cs="GHEA Grapalat"/>
          <w:bCs/>
          <w:sz w:val="22"/>
          <w:szCs w:val="22"/>
        </w:rPr>
        <w:t>է</w:t>
      </w:r>
      <w:r w:rsidRPr="000548D1">
        <w:rPr>
          <w:rFonts w:ascii="GHEA Grapalat" w:eastAsia="GHEA Grapalat" w:hAnsi="GHEA Grapalat" w:cs="GHEA Grapalat"/>
          <w:bCs/>
          <w:sz w:val="22"/>
          <w:szCs w:val="22"/>
        </w:rPr>
        <w:t xml:space="preserve"> ունեցել </w:t>
      </w:r>
      <w:r>
        <w:rPr>
          <w:rFonts w:ascii="GHEA Grapalat" w:eastAsia="GHEA Grapalat" w:hAnsi="GHEA Grapalat" w:cs="GHEA Grapalat"/>
          <w:bCs/>
          <w:sz w:val="22"/>
          <w:szCs w:val="22"/>
        </w:rPr>
        <w:t>հի</w:t>
      </w:r>
      <w:r w:rsidR="0005536E" w:rsidRPr="00493BAB">
        <w:rPr>
          <w:rFonts w:ascii="GHEA Grapalat" w:eastAsia="GHEA Grapalat" w:hAnsi="GHEA Grapalat" w:cs="GHEA Grapalat"/>
          <w:bCs/>
          <w:sz w:val="22"/>
          <w:szCs w:val="22"/>
        </w:rPr>
        <w:t>պոտեկ</w:t>
      </w:r>
      <w:r w:rsidRPr="000548D1">
        <w:rPr>
          <w:rFonts w:ascii="GHEA Grapalat" w:eastAsia="GHEA Grapalat" w:hAnsi="GHEA Grapalat" w:cs="GHEA Grapalat"/>
          <w:bCs/>
          <w:sz w:val="22"/>
          <w:szCs w:val="22"/>
        </w:rPr>
        <w:t>ային և շինարարության վարկերի ծավալների</w:t>
      </w:r>
      <w:r w:rsidRPr="00303061">
        <w:rPr>
          <w:rFonts w:ascii="GHEA Grapalat" w:eastAsia="GHEA Grapalat" w:hAnsi="GHEA Grapalat" w:cs="GHEA Grapalat"/>
          <w:bCs/>
          <w:sz w:val="22"/>
          <w:szCs w:val="22"/>
        </w:rPr>
        <w:t xml:space="preserve"> աճը:</w:t>
      </w:r>
      <w:r>
        <w:rPr>
          <w:rFonts w:ascii="GHEA Grapalat" w:eastAsia="GHEA Grapalat" w:hAnsi="GHEA Grapalat" w:cs="GHEA Grapalat"/>
          <w:bCs/>
          <w:sz w:val="22"/>
          <w:szCs w:val="22"/>
        </w:rPr>
        <w:t xml:space="preserve"> Ի</w:t>
      </w:r>
      <w:r w:rsidRPr="00E86D96">
        <w:rPr>
          <w:rFonts w:ascii="GHEA Grapalat" w:eastAsia="GHEA Grapalat" w:hAnsi="GHEA Grapalat" w:cs="GHEA Grapalat"/>
          <w:bCs/>
          <w:sz w:val="22"/>
          <w:szCs w:val="22"/>
        </w:rPr>
        <w:t xml:space="preserve">րական հատվածում կատարված օտարերկրյա </w:t>
      </w:r>
      <w:r>
        <w:rPr>
          <w:rFonts w:ascii="GHEA Grapalat" w:eastAsia="GHEA Grapalat" w:hAnsi="GHEA Grapalat" w:cs="GHEA Grapalat"/>
          <w:bCs/>
          <w:sz w:val="22"/>
          <w:szCs w:val="22"/>
        </w:rPr>
        <w:t xml:space="preserve">ուղղակի </w:t>
      </w:r>
      <w:r w:rsidRPr="00E86D96">
        <w:rPr>
          <w:rFonts w:ascii="GHEA Grapalat" w:eastAsia="GHEA Grapalat" w:hAnsi="GHEA Grapalat" w:cs="GHEA Grapalat"/>
          <w:bCs/>
          <w:sz w:val="22"/>
          <w:szCs w:val="22"/>
        </w:rPr>
        <w:t>ներդրումներ</w:t>
      </w:r>
      <w:r>
        <w:rPr>
          <w:rFonts w:ascii="GHEA Grapalat" w:eastAsia="GHEA Grapalat" w:hAnsi="GHEA Grapalat" w:cs="GHEA Grapalat"/>
          <w:bCs/>
          <w:sz w:val="22"/>
          <w:szCs w:val="22"/>
        </w:rPr>
        <w:t>ը ևս նպաստել են ներդրումների ընդհանուր աճին:</w:t>
      </w:r>
      <w:r w:rsidRPr="002565D5">
        <w:rPr>
          <w:rFonts w:ascii="GHEA Grapalat" w:eastAsia="GHEA Grapalat" w:hAnsi="GHEA Grapalat" w:cs="GHEA Grapalat"/>
          <w:bCs/>
          <w:sz w:val="22"/>
          <w:szCs w:val="22"/>
        </w:rPr>
        <w:t xml:space="preserve"> </w:t>
      </w:r>
    </w:p>
    <w:p w14:paraId="5344D473" w14:textId="24F18229" w:rsidR="006426DA" w:rsidRPr="00B06C86" w:rsidRDefault="006426DA" w:rsidP="006426DA">
      <w:pPr>
        <w:spacing w:line="276" w:lineRule="auto"/>
        <w:ind w:firstLine="567"/>
        <w:jc w:val="both"/>
        <w:rPr>
          <w:rFonts w:ascii="GHEA Grapalat" w:eastAsia="GHEA Grapalat" w:hAnsi="GHEA Grapalat" w:cs="GHEA Grapalat"/>
          <w:sz w:val="22"/>
          <w:szCs w:val="22"/>
        </w:rPr>
      </w:pPr>
      <w:r w:rsidRPr="00AA7282">
        <w:rPr>
          <w:rFonts w:ascii="GHEA Grapalat" w:eastAsia="GHEA Grapalat" w:hAnsi="GHEA Grapalat" w:cs="GHEA Grapalat"/>
          <w:sz w:val="22"/>
          <w:szCs w:val="22"/>
        </w:rPr>
        <w:t>Ներդրումների աճը հիմնականում պայմանավորված է եղել անշարժ գույքի հետ կապված գործունեության, ինչպես նաև կրթության ոլորտներում կատարված ներդրումների աճերով</w:t>
      </w:r>
      <w:r w:rsidRPr="00AA7282">
        <w:rPr>
          <w:rFonts w:ascii="GHEA Grapalat" w:eastAsia="GHEA Grapalat" w:hAnsi="GHEA Grapalat" w:cs="GHEA Grapalat"/>
          <w:sz w:val="22"/>
          <w:szCs w:val="22"/>
          <w:vertAlign w:val="superscript"/>
        </w:rPr>
        <w:footnoteReference w:id="11"/>
      </w:r>
      <w:r w:rsidR="00B26D2F" w:rsidRPr="00B06C86">
        <w:rPr>
          <w:rFonts w:ascii="GHEA Grapalat" w:eastAsia="GHEA Grapalat" w:hAnsi="GHEA Grapalat" w:cs="GHEA Grapalat"/>
          <w:sz w:val="22"/>
          <w:szCs w:val="22"/>
        </w:rPr>
        <w:t>:</w:t>
      </w:r>
    </w:p>
    <w:p w14:paraId="12971F77" w14:textId="77777777" w:rsidR="006426DA" w:rsidRPr="00EA2F85" w:rsidRDefault="006426DA" w:rsidP="006426DA">
      <w:pPr>
        <w:spacing w:line="276" w:lineRule="auto"/>
        <w:ind w:firstLine="567"/>
        <w:jc w:val="both"/>
        <w:rPr>
          <w:rFonts w:ascii="GHEA Grapalat" w:eastAsia="GHEA Grapalat" w:hAnsi="GHEA Grapalat" w:cs="GHEA Grapalat"/>
          <w:bCs/>
          <w:sz w:val="20"/>
          <w:szCs w:val="22"/>
          <w:highlight w:val="yellow"/>
        </w:rPr>
      </w:pPr>
      <w:r w:rsidRPr="000548D1">
        <w:rPr>
          <w:rFonts w:ascii="GHEA Grapalat" w:eastAsia="GHEA Grapalat" w:hAnsi="GHEA Grapalat" w:cs="GHEA Grapalat"/>
          <w:b/>
          <w:bCs/>
          <w:i/>
          <w:iCs/>
          <w:sz w:val="22"/>
          <w:szCs w:val="22"/>
        </w:rPr>
        <w:t>Զուտ արտահանում։</w:t>
      </w:r>
      <w:r w:rsidRPr="000548D1">
        <w:rPr>
          <w:rFonts w:ascii="GHEA Grapalat" w:eastAsia="GHEA Grapalat" w:hAnsi="GHEA Grapalat" w:cs="GHEA Grapalat"/>
          <w:sz w:val="22"/>
          <w:szCs w:val="22"/>
        </w:rPr>
        <w:t xml:space="preserve"> </w:t>
      </w:r>
      <w:r w:rsidRPr="000548D1">
        <w:rPr>
          <w:rFonts w:ascii="GHEA Grapalat" w:eastAsia="GHEA Grapalat" w:hAnsi="GHEA Grapalat" w:cs="GHEA Grapalat"/>
          <w:bCs/>
          <w:sz w:val="22"/>
          <w:szCs w:val="22"/>
        </w:rPr>
        <w:t xml:space="preserve">Ապրանքների և ծառայությունների արտահանման իրական ծավալները նվազել են 30.5%-ով, իսկ ներմուծման իրական ծավալները՝ 23.7%-ով` պայմանավորված վերամշակման և վերաարտահանման նպատակով ներմուծված թանկարժեք մետաղների ներմուծման գործոնի թուլացմամբ: Միաժամանակ պետք է նկատել, որ հայկական ծագման ապրանքների արտահանումն աճել է: </w:t>
      </w:r>
      <w:r w:rsidRPr="000548D1">
        <w:rPr>
          <w:rFonts w:ascii="GHEA Grapalat" w:hAnsi="GHEA Grapalat"/>
          <w:sz w:val="22"/>
        </w:rPr>
        <w:t xml:space="preserve">Արդյունքում զուտ արտահանումը նախորդ տարվա համեմատ վատթարացել է՝ պայմանավորված ներմուծման նկատմամբ արտահանման </w:t>
      </w:r>
      <w:r w:rsidRPr="00051758">
        <w:rPr>
          <w:rFonts w:ascii="GHEA Grapalat" w:hAnsi="GHEA Grapalat"/>
          <w:sz w:val="22"/>
          <w:szCs w:val="22"/>
        </w:rPr>
        <w:t>ավելի մեծ անկմամբ</w:t>
      </w:r>
      <w:r w:rsidRPr="007A19FE">
        <w:rPr>
          <w:rFonts w:ascii="GHEA Grapalat" w:hAnsi="GHEA Grapalat"/>
          <w:sz w:val="22"/>
        </w:rPr>
        <w:t>:</w:t>
      </w:r>
      <w:r>
        <w:rPr>
          <w:rFonts w:ascii="GHEA Grapalat" w:hAnsi="GHEA Grapalat"/>
          <w:sz w:val="22"/>
        </w:rPr>
        <w:t xml:space="preserve"> </w:t>
      </w:r>
    </w:p>
    <w:p w14:paraId="4A9EC9FC" w14:textId="77777777" w:rsidR="006426DA" w:rsidRPr="00B26D2F" w:rsidRDefault="006426DA" w:rsidP="00B26D2F">
      <w:pPr>
        <w:spacing w:line="276" w:lineRule="auto"/>
        <w:ind w:firstLine="567"/>
        <w:jc w:val="both"/>
        <w:rPr>
          <w:rFonts w:ascii="GHEA Grapalat" w:eastAsia="GHEA Grapalat" w:hAnsi="GHEA Grapalat" w:cs="GHEA Grapalat"/>
          <w:bCs/>
          <w:sz w:val="22"/>
          <w:szCs w:val="22"/>
        </w:rPr>
      </w:pPr>
    </w:p>
    <w:p w14:paraId="48B79366" w14:textId="77E323D8" w:rsidR="006426DA" w:rsidRPr="001A3265" w:rsidRDefault="00B26D2F" w:rsidP="001A3265">
      <w:pPr>
        <w:pStyle w:val="Heading4"/>
        <w:numPr>
          <w:ilvl w:val="3"/>
          <w:numId w:val="10"/>
        </w:numPr>
        <w:ind w:left="567" w:firstLine="0"/>
        <w:rPr>
          <w:i w:val="0"/>
        </w:rPr>
      </w:pPr>
      <w:r>
        <w:rPr>
          <w:i w:val="0"/>
        </w:rPr>
        <w:t>Աշխատանքի շուկա</w:t>
      </w:r>
    </w:p>
    <w:p w14:paraId="459E9B80" w14:textId="4B18976E" w:rsidR="006426DA" w:rsidRPr="001912C8" w:rsidRDefault="006426DA" w:rsidP="006426DA">
      <w:pPr>
        <w:spacing w:line="276" w:lineRule="auto"/>
        <w:ind w:firstLine="567"/>
        <w:jc w:val="both"/>
        <w:rPr>
          <w:rFonts w:ascii="GHEA Grapalat" w:eastAsia="GHEA Grapalat" w:hAnsi="GHEA Grapalat" w:cs="GHEA Grapalat"/>
          <w:bCs/>
          <w:sz w:val="22"/>
          <w:szCs w:val="22"/>
          <w:highlight w:val="yellow"/>
        </w:rPr>
      </w:pPr>
      <w:r w:rsidRPr="00BA5EB9">
        <w:rPr>
          <w:rFonts w:ascii="GHEA Grapalat" w:eastAsia="GHEA Grapalat" w:hAnsi="GHEA Grapalat" w:cs="GHEA Grapalat"/>
          <w:bCs/>
          <w:sz w:val="22"/>
          <w:szCs w:val="22"/>
        </w:rPr>
        <w:t>202</w:t>
      </w:r>
      <w:r w:rsidRPr="00BA5EB9">
        <w:rPr>
          <w:rFonts w:ascii="GHEA Grapalat" w:eastAsia="GHEA Grapalat" w:hAnsi="GHEA Grapalat" w:cs="GHEA Grapalat"/>
          <w:bCs/>
          <w:sz w:val="22"/>
          <w:szCs w:val="22"/>
          <w:lang w:val="de-AT"/>
        </w:rPr>
        <w:t>5</w:t>
      </w:r>
      <w:r w:rsidRPr="00BA5EB9">
        <w:rPr>
          <w:rFonts w:ascii="GHEA Grapalat" w:eastAsia="GHEA Grapalat" w:hAnsi="GHEA Grapalat" w:cs="GHEA Grapalat"/>
          <w:bCs/>
          <w:sz w:val="22"/>
          <w:szCs w:val="22"/>
        </w:rPr>
        <w:t>թ.</w:t>
      </w:r>
      <w:r w:rsidRPr="00BA5EB9">
        <w:rPr>
          <w:rFonts w:ascii="GHEA Grapalat" w:eastAsia="GHEA Grapalat" w:hAnsi="GHEA Grapalat" w:cs="GHEA Grapalat"/>
          <w:bCs/>
          <w:sz w:val="22"/>
          <w:szCs w:val="22"/>
          <w:lang w:val="de-AT"/>
        </w:rPr>
        <w:t xml:space="preserve"> </w:t>
      </w:r>
      <w:r w:rsidRPr="00754C64">
        <w:rPr>
          <w:rFonts w:ascii="GHEA Grapalat" w:eastAsia="GHEA Grapalat" w:hAnsi="GHEA Grapalat" w:cs="GHEA Grapalat"/>
          <w:bCs/>
          <w:sz w:val="22"/>
          <w:szCs w:val="22"/>
        </w:rPr>
        <w:t>գործազրկությունը</w:t>
      </w:r>
      <w:r w:rsidRPr="00BA5EB9" w:rsidDel="009E7EAA">
        <w:rPr>
          <w:rFonts w:ascii="GHEA Grapalat" w:eastAsia="GHEA Grapalat" w:hAnsi="GHEA Grapalat" w:cs="GHEA Grapalat"/>
          <w:bCs/>
          <w:sz w:val="22"/>
          <w:szCs w:val="22"/>
          <w:lang w:val="de-AT"/>
        </w:rPr>
        <w:t xml:space="preserve"> </w:t>
      </w:r>
      <w:r>
        <w:rPr>
          <w:rFonts w:ascii="GHEA Grapalat" w:eastAsia="GHEA Grapalat" w:hAnsi="GHEA Grapalat" w:cs="GHEA Grapalat"/>
          <w:bCs/>
          <w:sz w:val="22"/>
          <w:szCs w:val="22"/>
        </w:rPr>
        <w:t>նվազել է</w:t>
      </w:r>
      <w:r w:rsidRPr="002565D5">
        <w:rPr>
          <w:rFonts w:ascii="GHEA Grapalat" w:eastAsia="GHEA Grapalat" w:hAnsi="GHEA Grapalat" w:cs="GHEA Grapalat"/>
          <w:bCs/>
          <w:sz w:val="22"/>
          <w:szCs w:val="22"/>
          <w:lang w:val="de-AT"/>
        </w:rPr>
        <w:t xml:space="preserve">, </w:t>
      </w:r>
      <w:r>
        <w:rPr>
          <w:rFonts w:ascii="GHEA Grapalat" w:eastAsia="GHEA Grapalat" w:hAnsi="GHEA Grapalat" w:cs="GHEA Grapalat"/>
          <w:bCs/>
          <w:sz w:val="22"/>
          <w:szCs w:val="22"/>
        </w:rPr>
        <w:t xml:space="preserve">իսկ </w:t>
      </w:r>
      <w:r w:rsidRPr="00754C64">
        <w:rPr>
          <w:rFonts w:ascii="GHEA Grapalat" w:eastAsia="GHEA Grapalat" w:hAnsi="GHEA Grapalat" w:cs="GHEA Grapalat"/>
          <w:bCs/>
          <w:sz w:val="22"/>
          <w:szCs w:val="22"/>
        </w:rPr>
        <w:t>զբաղվածություն</w:t>
      </w:r>
      <w:r>
        <w:rPr>
          <w:rFonts w:ascii="GHEA Grapalat" w:eastAsia="GHEA Grapalat" w:hAnsi="GHEA Grapalat" w:cs="GHEA Grapalat"/>
          <w:bCs/>
          <w:sz w:val="22"/>
          <w:szCs w:val="22"/>
        </w:rPr>
        <w:t>ն՝ աճել</w:t>
      </w:r>
      <w:r w:rsidRPr="00754C64">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w:t>
      </w:r>
      <w:r w:rsidRPr="00D15B66">
        <w:rPr>
          <w:rFonts w:ascii="GHEA Grapalat" w:eastAsia="GHEA Grapalat" w:hAnsi="GHEA Grapalat" w:cs="GHEA Grapalat"/>
          <w:bCs/>
          <w:sz w:val="22"/>
          <w:szCs w:val="22"/>
        </w:rPr>
        <w:t xml:space="preserve">Միաժամանակ գրանցվել է վարձու աշխատողների և աշխատավարձերի աճ։ </w:t>
      </w:r>
      <w:r w:rsidRPr="000C5A37">
        <w:rPr>
          <w:rFonts w:ascii="GHEA Grapalat" w:eastAsia="GHEA Grapalat" w:hAnsi="GHEA Grapalat" w:cs="GHEA Grapalat"/>
          <w:bCs/>
          <w:sz w:val="22"/>
          <w:szCs w:val="22"/>
        </w:rPr>
        <w:t>2025</w:t>
      </w:r>
      <w:r w:rsidR="00EB7147">
        <w:rPr>
          <w:rFonts w:ascii="GHEA Grapalat" w:eastAsia="GHEA Grapalat" w:hAnsi="GHEA Grapalat" w:cs="GHEA Grapalat"/>
          <w:bCs/>
          <w:sz w:val="22"/>
          <w:szCs w:val="22"/>
        </w:rPr>
        <w:t>թ.</w:t>
      </w:r>
      <w:r w:rsidRPr="000C5A37">
        <w:rPr>
          <w:rFonts w:ascii="GHEA Grapalat" w:eastAsia="GHEA Grapalat" w:hAnsi="GHEA Grapalat" w:cs="GHEA Grapalat"/>
          <w:bCs/>
          <w:sz w:val="22"/>
          <w:szCs w:val="22"/>
        </w:rPr>
        <w:t xml:space="preserve"> գործազրկության մակարդակը նախորդ տարվա նկատմամբ նվազել </w:t>
      </w:r>
      <w:r w:rsidRPr="00F677B7">
        <w:rPr>
          <w:rFonts w:ascii="GHEA Grapalat" w:eastAsia="GHEA Grapalat" w:hAnsi="GHEA Grapalat" w:cs="GHEA Grapalat"/>
          <w:bCs/>
          <w:sz w:val="22"/>
          <w:szCs w:val="22"/>
        </w:rPr>
        <w:t xml:space="preserve">է </w:t>
      </w:r>
      <w:r>
        <w:rPr>
          <w:rFonts w:ascii="GHEA Grapalat" w:eastAsia="GHEA Grapalat" w:hAnsi="GHEA Grapalat" w:cs="GHEA Grapalat"/>
          <w:bCs/>
          <w:sz w:val="22"/>
          <w:szCs w:val="22"/>
        </w:rPr>
        <w:t>0</w:t>
      </w:r>
      <w:r w:rsidRPr="00F677B7">
        <w:rPr>
          <w:rFonts w:ascii="GHEA Grapalat" w:eastAsia="GHEA Grapalat" w:hAnsi="GHEA Grapalat" w:cs="GHEA Grapalat"/>
          <w:bCs/>
          <w:sz w:val="22"/>
          <w:szCs w:val="22"/>
        </w:rPr>
        <w:t>.</w:t>
      </w:r>
      <w:r>
        <w:rPr>
          <w:rFonts w:ascii="GHEA Grapalat" w:eastAsia="GHEA Grapalat" w:hAnsi="GHEA Grapalat" w:cs="GHEA Grapalat"/>
          <w:bCs/>
          <w:sz w:val="22"/>
          <w:szCs w:val="22"/>
        </w:rPr>
        <w:t>6</w:t>
      </w:r>
      <w:r w:rsidRPr="00F677B7">
        <w:rPr>
          <w:rFonts w:ascii="GHEA Grapalat" w:eastAsia="GHEA Grapalat" w:hAnsi="GHEA Grapalat" w:cs="GHEA Grapalat"/>
          <w:bCs/>
          <w:sz w:val="22"/>
          <w:szCs w:val="22"/>
        </w:rPr>
        <w:t xml:space="preserve"> տոկոսային կետով՝ կազմելով 1</w:t>
      </w:r>
      <w:r>
        <w:rPr>
          <w:rFonts w:ascii="GHEA Grapalat" w:eastAsia="GHEA Grapalat" w:hAnsi="GHEA Grapalat" w:cs="GHEA Grapalat"/>
          <w:bCs/>
          <w:sz w:val="22"/>
          <w:szCs w:val="22"/>
        </w:rPr>
        <w:t>2</w:t>
      </w:r>
      <w:r w:rsidRPr="00F677B7">
        <w:rPr>
          <w:rFonts w:ascii="GHEA Grapalat" w:eastAsia="GHEA Grapalat" w:hAnsi="GHEA Grapalat" w:cs="GHEA Grapalat"/>
          <w:bCs/>
          <w:sz w:val="22"/>
          <w:szCs w:val="22"/>
        </w:rPr>
        <w:t>.8%:</w:t>
      </w:r>
      <w:r w:rsidRPr="000C5A37">
        <w:rPr>
          <w:rFonts w:ascii="GHEA Grapalat" w:eastAsia="GHEA Grapalat" w:hAnsi="GHEA Grapalat" w:cs="GHEA Grapalat"/>
          <w:bCs/>
          <w:sz w:val="22"/>
          <w:szCs w:val="22"/>
        </w:rPr>
        <w:t xml:space="preserve"> </w:t>
      </w:r>
      <w:r w:rsidRPr="001A65EA">
        <w:rPr>
          <w:rFonts w:ascii="GHEA Grapalat" w:eastAsia="GHEA Grapalat" w:hAnsi="GHEA Grapalat" w:cs="GHEA Grapalat"/>
          <w:bCs/>
          <w:sz w:val="22"/>
          <w:szCs w:val="22"/>
        </w:rPr>
        <w:t xml:space="preserve">Ընդ որում՝ գործազրկության մակարդակի նվազմանը նպաստել է գործազուրկների թվաքանակի նվազումը </w:t>
      </w:r>
      <w:r w:rsidRPr="00F677B7">
        <w:rPr>
          <w:rFonts w:ascii="GHEA Grapalat" w:eastAsia="GHEA Grapalat" w:hAnsi="GHEA Grapalat" w:cs="GHEA Grapalat"/>
          <w:bCs/>
          <w:sz w:val="22"/>
          <w:szCs w:val="22"/>
        </w:rPr>
        <w:t>(</w:t>
      </w:r>
      <w:r w:rsidRPr="002565D5">
        <w:rPr>
          <w:rFonts w:ascii="GHEA Grapalat" w:eastAsia="GHEA Grapalat" w:hAnsi="GHEA Grapalat" w:cs="GHEA Grapalat"/>
          <w:bCs/>
          <w:sz w:val="22"/>
          <w:szCs w:val="22"/>
        </w:rPr>
        <w:t>4</w:t>
      </w:r>
      <w:r w:rsidRPr="00F677B7">
        <w:rPr>
          <w:rFonts w:ascii="GHEA Grapalat" w:eastAsia="GHEA Grapalat" w:hAnsi="GHEA Grapalat" w:cs="GHEA Grapalat"/>
          <w:bCs/>
          <w:sz w:val="22"/>
          <w:szCs w:val="22"/>
        </w:rPr>
        <w:t>.</w:t>
      </w:r>
      <w:r w:rsidRPr="002565D5">
        <w:rPr>
          <w:rFonts w:ascii="GHEA Grapalat" w:eastAsia="GHEA Grapalat" w:hAnsi="GHEA Grapalat" w:cs="GHEA Grapalat"/>
          <w:bCs/>
          <w:sz w:val="22"/>
          <w:szCs w:val="22"/>
        </w:rPr>
        <w:t>9</w:t>
      </w:r>
      <w:r w:rsidRPr="00F677B7">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Գ</w:t>
      </w:r>
      <w:r w:rsidRPr="00CE39E4">
        <w:rPr>
          <w:rFonts w:ascii="GHEA Grapalat" w:eastAsia="GHEA Grapalat" w:hAnsi="GHEA Grapalat" w:cs="GHEA Grapalat"/>
          <w:bCs/>
          <w:sz w:val="22"/>
          <w:szCs w:val="22"/>
        </w:rPr>
        <w:t>ործազուրկների թվաքանակի կրճատում</w:t>
      </w:r>
      <w:r>
        <w:rPr>
          <w:rFonts w:ascii="GHEA Grapalat" w:eastAsia="GHEA Grapalat" w:hAnsi="GHEA Grapalat" w:cs="GHEA Grapalat"/>
          <w:bCs/>
          <w:sz w:val="22"/>
          <w:szCs w:val="22"/>
        </w:rPr>
        <w:t>ն</w:t>
      </w:r>
      <w:r w:rsidRPr="00CE39E4">
        <w:rPr>
          <w:rFonts w:ascii="GHEA Grapalat" w:eastAsia="GHEA Grapalat" w:hAnsi="GHEA Grapalat" w:cs="GHEA Grapalat"/>
          <w:bCs/>
          <w:sz w:val="22"/>
          <w:szCs w:val="22"/>
        </w:rPr>
        <w:t xml:space="preserve"> ուղեկցվել</w:t>
      </w:r>
      <w:r>
        <w:rPr>
          <w:rFonts w:ascii="GHEA Grapalat" w:eastAsia="GHEA Grapalat" w:hAnsi="GHEA Grapalat" w:cs="GHEA Grapalat"/>
          <w:bCs/>
          <w:sz w:val="22"/>
          <w:szCs w:val="22"/>
        </w:rPr>
        <w:t xml:space="preserve"> է</w:t>
      </w:r>
      <w:r w:rsidRPr="00CE39E4">
        <w:rPr>
          <w:rFonts w:ascii="GHEA Grapalat" w:eastAsia="GHEA Grapalat" w:hAnsi="GHEA Grapalat" w:cs="GHEA Grapalat"/>
          <w:bCs/>
          <w:sz w:val="22"/>
          <w:szCs w:val="22"/>
        </w:rPr>
        <w:t xml:space="preserve"> զբաղվածների թվաքանակի աճով</w:t>
      </w:r>
      <w:r>
        <w:rPr>
          <w:rFonts w:ascii="GHEA Grapalat" w:eastAsia="GHEA Grapalat" w:hAnsi="GHEA Grapalat" w:cs="GHEA Grapalat"/>
          <w:bCs/>
          <w:sz w:val="22"/>
          <w:szCs w:val="22"/>
        </w:rPr>
        <w:t xml:space="preserve"> </w:t>
      </w:r>
      <w:r w:rsidRPr="002565D5">
        <w:rPr>
          <w:rFonts w:ascii="GHEA Grapalat" w:eastAsia="GHEA Grapalat" w:hAnsi="GHEA Grapalat" w:cs="GHEA Grapalat"/>
          <w:bCs/>
          <w:sz w:val="22"/>
          <w:szCs w:val="22"/>
        </w:rPr>
        <w:t>(</w:t>
      </w:r>
      <w:r w:rsidRPr="00F677B7">
        <w:rPr>
          <w:rFonts w:ascii="GHEA Grapalat" w:eastAsia="GHEA Grapalat" w:hAnsi="GHEA Grapalat" w:cs="GHEA Grapalat"/>
          <w:bCs/>
          <w:sz w:val="22"/>
          <w:szCs w:val="22"/>
        </w:rPr>
        <w:t>0.1%</w:t>
      </w:r>
      <w:r w:rsidRPr="002565D5">
        <w:rPr>
          <w:rFonts w:ascii="GHEA Grapalat" w:eastAsia="GHEA Grapalat" w:hAnsi="GHEA Grapalat" w:cs="GHEA Grapalat"/>
          <w:bCs/>
          <w:sz w:val="22"/>
          <w:szCs w:val="22"/>
        </w:rPr>
        <w:t>)</w:t>
      </w:r>
      <w:r w:rsidRPr="00CE39E4">
        <w:rPr>
          <w:rFonts w:ascii="GHEA Grapalat" w:eastAsia="GHEA Grapalat" w:hAnsi="GHEA Grapalat" w:cs="GHEA Grapalat"/>
          <w:bCs/>
          <w:sz w:val="22"/>
          <w:szCs w:val="22"/>
        </w:rPr>
        <w:t xml:space="preserve">։ </w:t>
      </w:r>
      <w:r w:rsidRPr="00091638">
        <w:rPr>
          <w:rFonts w:ascii="GHEA Grapalat" w:eastAsia="GHEA Grapalat" w:hAnsi="GHEA Grapalat" w:cs="GHEA Grapalat"/>
          <w:bCs/>
          <w:sz w:val="22"/>
          <w:szCs w:val="22"/>
        </w:rPr>
        <w:t>Նույն ժամանակահատվածում տեղի է ունեցել աշխատանքային ռեսուրսների ավելացում (աճը</w:t>
      </w:r>
      <w:r w:rsidRPr="00F677B7">
        <w:rPr>
          <w:rFonts w:ascii="GHEA Grapalat" w:eastAsia="GHEA Grapalat" w:hAnsi="GHEA Grapalat" w:cs="GHEA Grapalat"/>
          <w:bCs/>
          <w:sz w:val="22"/>
          <w:szCs w:val="22"/>
        </w:rPr>
        <w:t xml:space="preserve">՝ </w:t>
      </w:r>
      <w:r w:rsidRPr="002565D5">
        <w:rPr>
          <w:rFonts w:ascii="GHEA Grapalat" w:eastAsia="GHEA Grapalat" w:hAnsi="GHEA Grapalat" w:cs="GHEA Grapalat"/>
          <w:bCs/>
          <w:sz w:val="22"/>
          <w:szCs w:val="22"/>
        </w:rPr>
        <w:t>1</w:t>
      </w:r>
      <w:r w:rsidRPr="00F677B7">
        <w:rPr>
          <w:rFonts w:ascii="GHEA Grapalat" w:eastAsia="GHEA Grapalat" w:hAnsi="GHEA Grapalat" w:cs="GHEA Grapalat"/>
          <w:bCs/>
          <w:sz w:val="22"/>
          <w:szCs w:val="22"/>
        </w:rPr>
        <w:t>.</w:t>
      </w:r>
      <w:r w:rsidRPr="002565D5">
        <w:rPr>
          <w:rFonts w:ascii="GHEA Grapalat" w:eastAsia="GHEA Grapalat" w:hAnsi="GHEA Grapalat" w:cs="GHEA Grapalat"/>
          <w:bCs/>
          <w:sz w:val="22"/>
          <w:szCs w:val="22"/>
        </w:rPr>
        <w:t>3</w:t>
      </w:r>
      <w:r w:rsidRPr="00F677B7">
        <w:rPr>
          <w:rFonts w:ascii="GHEA Grapalat" w:eastAsia="GHEA Grapalat" w:hAnsi="GHEA Grapalat" w:cs="GHEA Grapalat"/>
          <w:bCs/>
          <w:sz w:val="22"/>
          <w:szCs w:val="22"/>
        </w:rPr>
        <w:t>%),</w:t>
      </w:r>
      <w:r w:rsidRPr="0016713C">
        <w:rPr>
          <w:rFonts w:ascii="GHEA Grapalat" w:eastAsia="GHEA Grapalat" w:hAnsi="GHEA Grapalat" w:cs="GHEA Grapalat"/>
          <w:bCs/>
          <w:sz w:val="22"/>
          <w:szCs w:val="22"/>
        </w:rPr>
        <w:t xml:space="preserve"> </w:t>
      </w:r>
      <w:r w:rsidRPr="009E6E01">
        <w:rPr>
          <w:rFonts w:ascii="GHEA Grapalat" w:eastAsia="GHEA Grapalat" w:hAnsi="GHEA Grapalat" w:cs="GHEA Grapalat"/>
          <w:bCs/>
          <w:sz w:val="22"/>
          <w:szCs w:val="22"/>
        </w:rPr>
        <w:lastRenderedPageBreak/>
        <w:t xml:space="preserve">որոնք համալրել են աշխատուժից դուրս բնակչության կազմը: Աշխատուժից դուրս բնակչությունն ավելացել է նաև ի հաշիվ աշխատուժի առաջարկի կրճատման: </w:t>
      </w:r>
    </w:p>
    <w:p w14:paraId="0830993A" w14:textId="244FC0C2" w:rsidR="006426DA" w:rsidRDefault="006426DA" w:rsidP="006426DA">
      <w:pPr>
        <w:spacing w:line="276" w:lineRule="auto"/>
        <w:ind w:firstLine="567"/>
        <w:jc w:val="both"/>
        <w:rPr>
          <w:rFonts w:ascii="GHEA Grapalat" w:eastAsia="GHEA Grapalat" w:hAnsi="GHEA Grapalat" w:cs="GHEA Grapalat"/>
          <w:bCs/>
          <w:sz w:val="22"/>
          <w:szCs w:val="22"/>
        </w:rPr>
      </w:pPr>
    </w:p>
    <w:tbl>
      <w:tblPr>
        <w:tblStyle w:val="TableGrid142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5099"/>
      </w:tblGrid>
      <w:tr w:rsidR="00A50B1C" w:rsidRPr="00EA2F85" w14:paraId="277A3358" w14:textId="77777777" w:rsidTr="0026046A">
        <w:trPr>
          <w:trHeight w:val="255"/>
        </w:trPr>
        <w:tc>
          <w:tcPr>
            <w:tcW w:w="4857" w:type="dxa"/>
          </w:tcPr>
          <w:p w14:paraId="331F584D" w14:textId="77777777" w:rsidR="00A50B1C" w:rsidRPr="00993E96" w:rsidRDefault="00A50B1C" w:rsidP="00A50B1C">
            <w:pPr>
              <w:tabs>
                <w:tab w:val="right" w:pos="0"/>
              </w:tabs>
              <w:rPr>
                <w:rFonts w:ascii="GHEA Grapalat" w:hAnsi="GHEA Grapalat" w:cs="Sylfaen"/>
                <w:b/>
                <w:sz w:val="22"/>
                <w:szCs w:val="22"/>
              </w:rPr>
            </w:pPr>
            <w:r w:rsidRPr="001B60E9">
              <w:rPr>
                <w:rStyle w:val="Char0"/>
              </w:rPr>
              <w:t>Գծապատկեր 12</w:t>
            </w:r>
            <w:r w:rsidRPr="001B60E9">
              <w:rPr>
                <w:rStyle w:val="Char0"/>
                <w:b w:val="0"/>
              </w:rPr>
              <w:t>.</w:t>
            </w:r>
            <w:r w:rsidRPr="001B60E9">
              <w:rPr>
                <w:rFonts w:ascii="GHEA Grapalat" w:hAnsi="GHEA Grapalat" w:cs="Sylfaen"/>
                <w:b/>
                <w:sz w:val="22"/>
                <w:szCs w:val="22"/>
              </w:rPr>
              <w:t xml:space="preserve"> </w:t>
            </w:r>
            <w:r w:rsidRPr="001B60E9">
              <w:rPr>
                <w:rFonts w:ascii="GHEA Grapalat" w:hAnsi="GHEA Grapalat" w:cs="Sylfaen"/>
                <w:b/>
                <w:sz w:val="18"/>
                <w:szCs w:val="18"/>
              </w:rPr>
              <w:t>Գործազրկության մակարդակ, գործազուրկներ և զբաղվածներ</w:t>
            </w:r>
          </w:p>
          <w:p w14:paraId="548B4E06" w14:textId="77777777" w:rsidR="00A50B1C" w:rsidRPr="00993E96" w:rsidRDefault="00A50B1C" w:rsidP="00A50B1C">
            <w:pPr>
              <w:tabs>
                <w:tab w:val="right" w:pos="0"/>
              </w:tabs>
              <w:contextualSpacing/>
              <w:rPr>
                <w:rFonts w:ascii="GHEA Grapalat" w:hAnsi="GHEA Grapalat" w:cs="Sylfaen"/>
                <w:i/>
                <w:sz w:val="16"/>
                <w:szCs w:val="16"/>
              </w:rPr>
            </w:pPr>
            <w:r w:rsidRPr="00993E96">
              <w:rPr>
                <w:rFonts w:ascii="GHEA Grapalat" w:hAnsi="GHEA Grapalat"/>
                <w:lang w:val="en-US"/>
              </w:rPr>
              <w:drawing>
                <wp:inline distT="0" distB="0" distL="0" distR="0" wp14:anchorId="161072FD" wp14:editId="10181A59">
                  <wp:extent cx="2933700" cy="2143125"/>
                  <wp:effectExtent l="0" t="0" r="0" b="9525"/>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F3D2407" w14:textId="77777777" w:rsidR="00A50B1C" w:rsidRPr="00993E96" w:rsidRDefault="00A50B1C" w:rsidP="00A50B1C">
            <w:pPr>
              <w:tabs>
                <w:tab w:val="right" w:pos="0"/>
              </w:tabs>
              <w:contextualSpacing/>
              <w:rPr>
                <w:rStyle w:val="Char0"/>
              </w:rPr>
            </w:pPr>
            <w:r w:rsidRPr="00993E96">
              <w:rPr>
                <w:rFonts w:ascii="GHEA Grapalat" w:hAnsi="GHEA Grapalat"/>
                <w:i/>
                <w:sz w:val="16"/>
                <w:szCs w:val="16"/>
              </w:rPr>
              <w:t>Աղբյուր. ՀՀ վիճակագրական կոմիտե</w:t>
            </w:r>
          </w:p>
        </w:tc>
        <w:tc>
          <w:tcPr>
            <w:tcW w:w="5099" w:type="dxa"/>
          </w:tcPr>
          <w:p w14:paraId="679C174D" w14:textId="77777777" w:rsidR="00A50B1C" w:rsidRPr="00993E96" w:rsidRDefault="00A50B1C" w:rsidP="00A50B1C">
            <w:pPr>
              <w:tabs>
                <w:tab w:val="right" w:pos="0"/>
              </w:tabs>
              <w:ind w:right="-74"/>
              <w:rPr>
                <w:rFonts w:ascii="GHEA Grapalat" w:hAnsi="GHEA Grapalat" w:cs="Sylfaen"/>
                <w:b/>
                <w:sz w:val="18"/>
                <w:szCs w:val="18"/>
              </w:rPr>
            </w:pPr>
            <w:r w:rsidRPr="00FE3C99">
              <w:rPr>
                <w:rStyle w:val="Char0"/>
              </w:rPr>
              <w:t>Գծապատկեր 1</w:t>
            </w:r>
            <w:r>
              <w:rPr>
                <w:rStyle w:val="Char0"/>
              </w:rPr>
              <w:t>3</w:t>
            </w:r>
            <w:r w:rsidRPr="00FE3C99">
              <w:rPr>
                <w:rStyle w:val="Char0"/>
              </w:rPr>
              <w:t>.</w:t>
            </w:r>
            <w:r w:rsidRPr="00FE3C99">
              <w:rPr>
                <w:rFonts w:ascii="GHEA Grapalat" w:hAnsi="GHEA Grapalat" w:cs="Sylfaen"/>
                <w:b/>
                <w:sz w:val="22"/>
                <w:szCs w:val="22"/>
              </w:rPr>
              <w:t xml:space="preserve"> </w:t>
            </w:r>
            <w:r w:rsidRPr="00FE3C99">
              <w:rPr>
                <w:rFonts w:ascii="GHEA Grapalat" w:hAnsi="GHEA Grapalat" w:cs="Sylfaen"/>
                <w:b/>
                <w:sz w:val="18"/>
                <w:szCs w:val="18"/>
              </w:rPr>
              <w:t>Միջին ամսական անվանական աշխատավարձի աճը նախորդ տարվա նկատմամբ, %</w:t>
            </w:r>
          </w:p>
          <w:p w14:paraId="6A36E16D" w14:textId="77777777" w:rsidR="00A50B1C" w:rsidRPr="00993E96" w:rsidRDefault="00A50B1C" w:rsidP="00A50B1C">
            <w:pPr>
              <w:tabs>
                <w:tab w:val="right" w:pos="0"/>
              </w:tabs>
              <w:contextualSpacing/>
              <w:rPr>
                <w:rFonts w:ascii="GHEA Grapalat" w:hAnsi="GHEA Grapalat" w:cs="Sylfaen"/>
                <w:i/>
                <w:sz w:val="16"/>
                <w:szCs w:val="16"/>
              </w:rPr>
            </w:pPr>
            <w:r w:rsidRPr="00993E96">
              <w:rPr>
                <w:rFonts w:ascii="GHEA Grapalat" w:hAnsi="GHEA Grapalat"/>
                <w:sz w:val="16"/>
                <w:szCs w:val="16"/>
                <w:lang w:val="en-US"/>
              </w:rPr>
              <w:drawing>
                <wp:inline distT="0" distB="0" distL="0" distR="0" wp14:anchorId="07B771EC" wp14:editId="6F387531">
                  <wp:extent cx="3038475" cy="2124075"/>
                  <wp:effectExtent l="0" t="0" r="9525" b="9525"/>
                  <wp:docPr id="1658537381" name="Chart 16585373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5F307AD" w14:textId="29136D93" w:rsidR="00A50B1C" w:rsidRPr="00A50B1C" w:rsidRDefault="00A50B1C" w:rsidP="00A50B1C">
            <w:pPr>
              <w:ind w:firstLine="567"/>
              <w:jc w:val="both"/>
              <w:rPr>
                <w:rStyle w:val="Char0"/>
                <w:b w:val="0"/>
                <w:bCs/>
                <w:sz w:val="22"/>
                <w:szCs w:val="22"/>
                <w:lang w:val="en-US"/>
              </w:rPr>
            </w:pPr>
            <w:r w:rsidRPr="00993E96">
              <w:rPr>
                <w:rFonts w:ascii="GHEA Grapalat" w:hAnsi="GHEA Grapalat"/>
                <w:i/>
                <w:sz w:val="16"/>
                <w:szCs w:val="16"/>
              </w:rPr>
              <w:t>Աղբյուր</w:t>
            </w:r>
            <w:r w:rsidRPr="00993E96">
              <w:rPr>
                <w:rFonts w:ascii="GHEA Grapalat" w:hAnsi="GHEA Grapalat"/>
                <w:i/>
                <w:sz w:val="16"/>
                <w:szCs w:val="16"/>
                <w:lang w:val="en-US"/>
              </w:rPr>
              <w:t>.</w:t>
            </w:r>
            <w:r w:rsidRPr="00993E96">
              <w:rPr>
                <w:rFonts w:ascii="GHEA Grapalat" w:hAnsi="GHEA Grapalat"/>
                <w:i/>
                <w:sz w:val="16"/>
                <w:szCs w:val="16"/>
              </w:rPr>
              <w:t xml:space="preserve"> ՀՀ վիճակագրական կոմիտե</w:t>
            </w:r>
          </w:p>
        </w:tc>
      </w:tr>
    </w:tbl>
    <w:p w14:paraId="22A2A31A" w14:textId="77777777" w:rsidR="00A50B1C" w:rsidRPr="00CF7892" w:rsidRDefault="00A50B1C" w:rsidP="006426DA">
      <w:pPr>
        <w:spacing w:line="276" w:lineRule="auto"/>
        <w:ind w:firstLine="567"/>
        <w:jc w:val="both"/>
        <w:rPr>
          <w:rFonts w:ascii="GHEA Grapalat" w:eastAsia="GHEA Grapalat" w:hAnsi="GHEA Grapalat" w:cs="GHEA Grapalat"/>
          <w:bCs/>
          <w:sz w:val="22"/>
          <w:szCs w:val="22"/>
        </w:rPr>
      </w:pPr>
    </w:p>
    <w:p w14:paraId="4B72F0B4" w14:textId="77777777" w:rsidR="006426DA" w:rsidRPr="004F2351" w:rsidRDefault="006426DA" w:rsidP="006426DA">
      <w:pPr>
        <w:spacing w:line="276" w:lineRule="auto"/>
        <w:ind w:firstLine="567"/>
        <w:jc w:val="both"/>
        <w:rPr>
          <w:rFonts w:ascii="GHEA Grapalat" w:eastAsia="GHEA Grapalat" w:hAnsi="GHEA Grapalat" w:cs="GHEA Grapalat"/>
          <w:bCs/>
          <w:sz w:val="22"/>
          <w:szCs w:val="22"/>
        </w:rPr>
      </w:pPr>
      <w:r w:rsidRPr="00B06C86">
        <w:rPr>
          <w:rFonts w:ascii="GHEA Grapalat" w:eastAsia="GHEA Grapalat" w:hAnsi="GHEA Grapalat" w:cs="GHEA Grapalat"/>
          <w:bCs/>
          <w:sz w:val="22"/>
          <w:szCs w:val="22"/>
        </w:rPr>
        <w:t>Վ</w:t>
      </w:r>
      <w:r w:rsidRPr="006E3C1C">
        <w:rPr>
          <w:rFonts w:ascii="GHEA Grapalat" w:eastAsia="GHEA Grapalat" w:hAnsi="GHEA Grapalat" w:cs="GHEA Grapalat"/>
          <w:bCs/>
          <w:sz w:val="22"/>
          <w:szCs w:val="22"/>
        </w:rPr>
        <w:t xml:space="preserve">արձու աշխատողների թիվը 2025թ. աճել է </w:t>
      </w:r>
      <w:r w:rsidRPr="00FB231B">
        <w:rPr>
          <w:rFonts w:ascii="GHEA Grapalat" w:eastAsia="GHEA Grapalat" w:hAnsi="GHEA Grapalat" w:cs="GHEA Grapalat"/>
          <w:bCs/>
          <w:sz w:val="22"/>
          <w:szCs w:val="22"/>
        </w:rPr>
        <w:t xml:space="preserve">4.6%-ով` </w:t>
      </w:r>
      <w:r w:rsidRPr="00FB231B">
        <w:rPr>
          <w:rFonts w:ascii="GHEA Grapalat" w:eastAsia="GHEA Grapalat" w:hAnsi="GHEA Grapalat" w:cs="GHEA Grapalat"/>
          <w:sz w:val="22"/>
          <w:szCs w:val="22"/>
        </w:rPr>
        <w:t>կազմելով 795</w:t>
      </w:r>
      <w:r>
        <w:rPr>
          <w:rFonts w:ascii="GHEA Grapalat" w:eastAsia="GHEA Grapalat" w:hAnsi="GHEA Grapalat" w:cs="GHEA Grapalat"/>
          <w:sz w:val="22"/>
          <w:szCs w:val="22"/>
        </w:rPr>
        <w:t>,</w:t>
      </w:r>
      <w:r w:rsidRPr="00FB231B">
        <w:rPr>
          <w:rFonts w:ascii="GHEA Grapalat" w:eastAsia="GHEA Grapalat" w:hAnsi="GHEA Grapalat" w:cs="GHEA Grapalat"/>
          <w:sz w:val="22"/>
          <w:szCs w:val="22"/>
        </w:rPr>
        <w:t xml:space="preserve">212 մարդ: </w:t>
      </w:r>
      <w:r w:rsidRPr="004F2351">
        <w:rPr>
          <w:rFonts w:ascii="GHEA Grapalat" w:eastAsia="GHEA Grapalat" w:hAnsi="GHEA Grapalat" w:cs="GHEA Grapalat"/>
          <w:sz w:val="22"/>
          <w:szCs w:val="22"/>
        </w:rPr>
        <w:t>Վարձու աշխատողների թվի աճը</w:t>
      </w:r>
      <w:r w:rsidRPr="004F2351">
        <w:rPr>
          <w:rFonts w:ascii="GHEA Grapalat" w:eastAsia="GHEA Grapalat" w:hAnsi="GHEA Grapalat" w:cs="GHEA Grapalat"/>
          <w:bCs/>
          <w:sz w:val="22"/>
          <w:szCs w:val="22"/>
        </w:rPr>
        <w:t xml:space="preserve"> հիմնականում պայմանավորված է եղել առևտուր, պետական կառավարում և պաշտպանություն, ինչպես նաև շինարարություն ոլորտներում աշխատողների թվի աճով։ </w:t>
      </w:r>
    </w:p>
    <w:p w14:paraId="59E55861" w14:textId="3B1D536C" w:rsidR="00B75705" w:rsidRDefault="00B75705" w:rsidP="009C57EB">
      <w:pPr>
        <w:spacing w:line="276" w:lineRule="auto"/>
        <w:ind w:firstLine="567"/>
        <w:jc w:val="both"/>
        <w:rPr>
          <w:rFonts w:ascii="GHEA Grapalat" w:eastAsia="GHEA Grapalat" w:hAnsi="GHEA Grapalat" w:cs="GHEA Grapalat"/>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8"/>
      </w:tblGrid>
      <w:tr w:rsidR="00156333" w:rsidRPr="00EA2F85" w14:paraId="7D1D4C47" w14:textId="77777777" w:rsidTr="0026046A">
        <w:tc>
          <w:tcPr>
            <w:tcW w:w="10208" w:type="dxa"/>
          </w:tcPr>
          <w:p w14:paraId="542CA5C8" w14:textId="7E259193" w:rsidR="00156333" w:rsidRPr="007362F2" w:rsidRDefault="00156333" w:rsidP="00156333">
            <w:pPr>
              <w:tabs>
                <w:tab w:val="right" w:pos="0"/>
              </w:tabs>
              <w:spacing w:line="276" w:lineRule="auto"/>
              <w:rPr>
                <w:rFonts w:ascii="GHEA Grapalat" w:hAnsi="GHEA Grapalat" w:cs="Sylfaen"/>
                <w:b/>
                <w:sz w:val="18"/>
                <w:szCs w:val="18"/>
              </w:rPr>
            </w:pPr>
            <w:r w:rsidRPr="007362F2">
              <w:rPr>
                <w:rStyle w:val="Char0"/>
              </w:rPr>
              <w:t>Գծապատկեր 1</w:t>
            </w:r>
            <w:r>
              <w:rPr>
                <w:rStyle w:val="Char0"/>
              </w:rPr>
              <w:t>4</w:t>
            </w:r>
            <w:r w:rsidRPr="007362F2">
              <w:rPr>
                <w:rStyle w:val="Char0"/>
              </w:rPr>
              <w:t>.</w:t>
            </w:r>
            <w:r w:rsidRPr="007362F2">
              <w:rPr>
                <w:rFonts w:ascii="GHEA Grapalat" w:hAnsi="GHEA Grapalat" w:cs="Sylfaen"/>
                <w:b/>
                <w:sz w:val="22"/>
                <w:szCs w:val="22"/>
              </w:rPr>
              <w:t xml:space="preserve"> </w:t>
            </w:r>
            <w:r w:rsidRPr="007362F2">
              <w:rPr>
                <w:rFonts w:ascii="GHEA Grapalat" w:hAnsi="GHEA Grapalat" w:cs="Sylfaen"/>
                <w:b/>
                <w:sz w:val="18"/>
                <w:szCs w:val="18"/>
              </w:rPr>
              <w:t xml:space="preserve">Միջին ամսական անվանական աշխատավարձի </w:t>
            </w:r>
            <w:r w:rsidRPr="002565D5">
              <w:rPr>
                <w:rFonts w:ascii="GHEA Grapalat" w:hAnsi="GHEA Grapalat" w:cs="Sylfaen"/>
                <w:b/>
                <w:sz w:val="18"/>
                <w:szCs w:val="18"/>
              </w:rPr>
              <w:t xml:space="preserve">և վարձու աշխատողների </w:t>
            </w:r>
            <w:r w:rsidRPr="007362F2">
              <w:rPr>
                <w:rFonts w:ascii="GHEA Grapalat" w:hAnsi="GHEA Grapalat" w:cs="Sylfaen"/>
                <w:b/>
                <w:sz w:val="18"/>
                <w:szCs w:val="18"/>
              </w:rPr>
              <w:t>աճ</w:t>
            </w:r>
            <w:r w:rsidRPr="002565D5">
              <w:rPr>
                <w:rFonts w:ascii="GHEA Grapalat" w:hAnsi="GHEA Grapalat" w:cs="Sylfaen"/>
                <w:b/>
                <w:sz w:val="18"/>
                <w:szCs w:val="18"/>
              </w:rPr>
              <w:t>ն՝ ըստ ոլորտների</w:t>
            </w:r>
            <w:r w:rsidRPr="007362F2">
              <w:rPr>
                <w:rFonts w:ascii="GHEA Grapalat" w:hAnsi="GHEA Grapalat" w:cs="Sylfaen"/>
                <w:b/>
                <w:sz w:val="18"/>
                <w:szCs w:val="18"/>
              </w:rPr>
              <w:t xml:space="preserve"> նախորդ տարվա նկատմամբ, %</w:t>
            </w:r>
            <w:r w:rsidRPr="002565D5">
              <w:rPr>
                <w:rFonts w:ascii="GHEA Grapalat" w:hAnsi="GHEA Grapalat" w:cs="Sylfaen"/>
                <w:b/>
                <w:sz w:val="18"/>
                <w:szCs w:val="18"/>
              </w:rPr>
              <w:t>, 2025</w:t>
            </w:r>
            <w:r w:rsidRPr="007362F2">
              <w:rPr>
                <w:rFonts w:ascii="GHEA Grapalat" w:hAnsi="GHEA Grapalat" w:cs="Sylfaen"/>
                <w:b/>
                <w:sz w:val="18"/>
                <w:szCs w:val="18"/>
              </w:rPr>
              <w:t>թ</w:t>
            </w:r>
            <w:r w:rsidRPr="002565D5">
              <w:rPr>
                <w:rFonts w:ascii="GHEA Grapalat" w:hAnsi="GHEA Grapalat" w:cs="Sylfaen"/>
                <w:b/>
                <w:sz w:val="18"/>
                <w:szCs w:val="18"/>
              </w:rPr>
              <w:t>.</w:t>
            </w:r>
          </w:p>
          <w:p w14:paraId="4FE0C61E" w14:textId="77777777" w:rsidR="00156333" w:rsidRPr="007629B3" w:rsidRDefault="00156333" w:rsidP="00156333">
            <w:pPr>
              <w:tabs>
                <w:tab w:val="right" w:pos="0"/>
              </w:tabs>
              <w:spacing w:line="276" w:lineRule="auto"/>
              <w:rPr>
                <w:rStyle w:val="Char0"/>
              </w:rPr>
            </w:pPr>
            <w:r>
              <w:rPr>
                <w:lang w:val="en-US"/>
              </w:rPr>
              <w:drawing>
                <wp:inline distT="0" distB="0" distL="0" distR="0" wp14:anchorId="680448C2" wp14:editId="07683C2E">
                  <wp:extent cx="6315075" cy="2924175"/>
                  <wp:effectExtent l="0" t="0" r="9525" b="9525"/>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6F16365D" w14:textId="77777777" w:rsidR="00156333" w:rsidRDefault="00156333" w:rsidP="009C57EB">
      <w:pPr>
        <w:spacing w:line="276" w:lineRule="auto"/>
        <w:ind w:firstLine="567"/>
        <w:jc w:val="both"/>
        <w:rPr>
          <w:rFonts w:ascii="GHEA Grapalat" w:eastAsia="GHEA Grapalat" w:hAnsi="GHEA Grapalat" w:cs="GHEA Grapalat"/>
          <w:bCs/>
          <w:sz w:val="22"/>
          <w:szCs w:val="22"/>
        </w:rPr>
      </w:pPr>
    </w:p>
    <w:p w14:paraId="5BAB0839" w14:textId="7C7D54C6" w:rsidR="009C57EB" w:rsidRPr="00EA2F85" w:rsidRDefault="006426DA" w:rsidP="009C57EB">
      <w:pPr>
        <w:spacing w:line="276" w:lineRule="auto"/>
        <w:ind w:firstLine="567"/>
        <w:jc w:val="both"/>
        <w:rPr>
          <w:rFonts w:ascii="GHEA Grapalat" w:eastAsia="GHEA Grapalat" w:hAnsi="GHEA Grapalat" w:cs="GHEA Grapalat"/>
          <w:bCs/>
          <w:sz w:val="22"/>
          <w:szCs w:val="22"/>
          <w:highlight w:val="yellow"/>
        </w:rPr>
      </w:pPr>
      <w:r w:rsidRPr="006A0E17">
        <w:rPr>
          <w:rFonts w:ascii="GHEA Grapalat" w:eastAsia="GHEA Grapalat" w:hAnsi="GHEA Grapalat" w:cs="GHEA Grapalat"/>
          <w:bCs/>
          <w:sz w:val="22"/>
          <w:szCs w:val="22"/>
        </w:rPr>
        <w:t xml:space="preserve">2025թ. միջին ամսական անվանական աշխատավարձը նախորդ տարվա նկատմամբ աճել է </w:t>
      </w:r>
      <w:r w:rsidRPr="00180ED1">
        <w:rPr>
          <w:rFonts w:ascii="GHEA Grapalat" w:eastAsia="GHEA Grapalat" w:hAnsi="GHEA Grapalat" w:cs="GHEA Grapalat"/>
          <w:bCs/>
          <w:sz w:val="22"/>
          <w:szCs w:val="22"/>
        </w:rPr>
        <w:t>5.6%-ով` կազմելով 303,140 դրամ</w:t>
      </w:r>
      <w:r w:rsidRPr="00863B27">
        <w:rPr>
          <w:rFonts w:ascii="GHEA Grapalat" w:eastAsia="GHEA Grapalat" w:hAnsi="GHEA Grapalat" w:cs="GHEA Grapalat"/>
          <w:bCs/>
          <w:sz w:val="22"/>
          <w:szCs w:val="22"/>
        </w:rPr>
        <w:t xml:space="preserve">: </w:t>
      </w:r>
      <w:r w:rsidRPr="007629B3">
        <w:rPr>
          <w:rFonts w:ascii="GHEA Grapalat" w:eastAsia="GHEA Grapalat" w:hAnsi="GHEA Grapalat" w:cs="GHEA Grapalat"/>
          <w:bCs/>
          <w:sz w:val="22"/>
          <w:szCs w:val="22"/>
        </w:rPr>
        <w:t xml:space="preserve">Աշխատավարձի աճին հիմնականում նպաստել </w:t>
      </w:r>
      <w:r w:rsidR="002512EB">
        <w:rPr>
          <w:rFonts w:ascii="GHEA Grapalat" w:eastAsia="GHEA Grapalat" w:hAnsi="GHEA Grapalat" w:cs="GHEA Grapalat"/>
          <w:bCs/>
          <w:sz w:val="22"/>
          <w:szCs w:val="22"/>
        </w:rPr>
        <w:t>է</w:t>
      </w:r>
      <w:r w:rsidRPr="007629B3">
        <w:rPr>
          <w:rFonts w:ascii="GHEA Grapalat" w:eastAsia="GHEA Grapalat" w:hAnsi="GHEA Grapalat" w:cs="GHEA Grapalat"/>
          <w:bCs/>
          <w:sz w:val="22"/>
          <w:szCs w:val="22"/>
        </w:rPr>
        <w:t xml:space="preserve"> մեծածախ և մանրածախ առևտրի, կրթության, ինչպես նաև մշակող արդյունաբերության ոլորտներում աշխատավարձերի </w:t>
      </w:r>
      <w:r w:rsidRPr="002565D5">
        <w:rPr>
          <w:rFonts w:ascii="GHEA Grapalat" w:eastAsia="GHEA Grapalat" w:hAnsi="GHEA Grapalat" w:cs="GHEA Grapalat"/>
          <w:bCs/>
          <w:sz w:val="22"/>
          <w:szCs w:val="22"/>
        </w:rPr>
        <w:t>ֆոնդերի</w:t>
      </w:r>
      <w:r w:rsidRPr="007629B3">
        <w:rPr>
          <w:rFonts w:ascii="GHEA Grapalat" w:eastAsia="GHEA Grapalat" w:hAnsi="GHEA Grapalat" w:cs="GHEA Grapalat"/>
          <w:bCs/>
          <w:sz w:val="22"/>
          <w:szCs w:val="22"/>
        </w:rPr>
        <w:t xml:space="preserve"> աճը։</w:t>
      </w:r>
      <w:r w:rsidRPr="00341C85">
        <w:rPr>
          <w:rFonts w:ascii="GHEA Grapalat" w:eastAsia="GHEA Grapalat" w:hAnsi="GHEA Grapalat" w:cs="GHEA Grapalat"/>
          <w:bCs/>
          <w:sz w:val="22"/>
          <w:szCs w:val="22"/>
        </w:rPr>
        <w:t xml:space="preserve"> Միջին ամսական անվանական աշխատավարձը պետական </w:t>
      </w:r>
      <w:r w:rsidRPr="00341C85">
        <w:rPr>
          <w:rFonts w:ascii="GHEA Grapalat" w:eastAsia="GHEA Grapalat" w:hAnsi="GHEA Grapalat" w:cs="GHEA Grapalat"/>
          <w:bCs/>
          <w:sz w:val="22"/>
          <w:szCs w:val="22"/>
        </w:rPr>
        <w:lastRenderedPageBreak/>
        <w:t xml:space="preserve">հատվածում աճել </w:t>
      </w:r>
      <w:r w:rsidRPr="00BB2E6E">
        <w:rPr>
          <w:rFonts w:ascii="GHEA Grapalat" w:eastAsia="GHEA Grapalat" w:hAnsi="GHEA Grapalat" w:cs="GHEA Grapalat"/>
          <w:bCs/>
          <w:sz w:val="22"/>
          <w:szCs w:val="22"/>
        </w:rPr>
        <w:t>է 6.5%-ով` կազմելով 239,369 դրա</w:t>
      </w:r>
      <w:r w:rsidRPr="009C2503">
        <w:rPr>
          <w:rFonts w:ascii="GHEA Grapalat" w:eastAsia="GHEA Grapalat" w:hAnsi="GHEA Grapalat" w:cs="GHEA Grapalat"/>
          <w:bCs/>
          <w:sz w:val="22"/>
          <w:szCs w:val="22"/>
        </w:rPr>
        <w:t>մ, իսկ ոչ պետականում</w:t>
      </w:r>
      <w:r w:rsidRPr="00294EA7">
        <w:rPr>
          <w:rFonts w:ascii="GHEA Grapalat" w:eastAsia="GHEA Grapalat" w:hAnsi="GHEA Grapalat" w:cs="GHEA Grapalat"/>
          <w:bCs/>
          <w:sz w:val="22"/>
          <w:szCs w:val="22"/>
        </w:rPr>
        <w:t>` 5.1%-</w:t>
      </w:r>
      <w:r w:rsidRPr="00296137">
        <w:rPr>
          <w:rFonts w:ascii="GHEA Grapalat" w:eastAsia="GHEA Grapalat" w:hAnsi="GHEA Grapalat" w:cs="GHEA Grapalat"/>
          <w:bCs/>
          <w:sz w:val="22"/>
          <w:szCs w:val="22"/>
        </w:rPr>
        <w:t xml:space="preserve">ով և </w:t>
      </w:r>
      <w:r w:rsidRPr="00294EA7">
        <w:rPr>
          <w:rFonts w:ascii="GHEA Grapalat" w:eastAsia="GHEA Grapalat" w:hAnsi="GHEA Grapalat" w:cs="GHEA Grapalat"/>
          <w:bCs/>
          <w:sz w:val="22"/>
          <w:szCs w:val="22"/>
        </w:rPr>
        <w:t>կազմել 327,604</w:t>
      </w:r>
      <w:r w:rsidRPr="001A78A8">
        <w:rPr>
          <w:rFonts w:ascii="GHEA Grapalat" w:eastAsia="GHEA Grapalat" w:hAnsi="GHEA Grapalat" w:cs="GHEA Grapalat"/>
          <w:bCs/>
          <w:sz w:val="22"/>
          <w:szCs w:val="22"/>
        </w:rPr>
        <w:t xml:space="preserve"> դրամ: </w:t>
      </w:r>
      <w:r w:rsidRPr="00142A56">
        <w:rPr>
          <w:rFonts w:ascii="GHEA Grapalat" w:eastAsia="GHEA Grapalat" w:hAnsi="GHEA Grapalat" w:cs="GHEA Grapalat"/>
          <w:bCs/>
          <w:sz w:val="22"/>
          <w:szCs w:val="22"/>
        </w:rPr>
        <w:t xml:space="preserve">Իրական աշխատավարձը 3.3% գնաճի պայմաններում աճել </w:t>
      </w:r>
      <w:r w:rsidRPr="00294EA7">
        <w:rPr>
          <w:rFonts w:ascii="GHEA Grapalat" w:eastAsia="GHEA Grapalat" w:hAnsi="GHEA Grapalat" w:cs="GHEA Grapalat"/>
          <w:bCs/>
          <w:sz w:val="22"/>
          <w:szCs w:val="22"/>
        </w:rPr>
        <w:t>է 2.2%-ով</w:t>
      </w:r>
      <w:r w:rsidRPr="00142A56">
        <w:rPr>
          <w:rFonts w:ascii="GHEA Grapalat" w:eastAsia="GHEA Grapalat" w:hAnsi="GHEA Grapalat" w:cs="GHEA Grapalat"/>
          <w:bCs/>
          <w:sz w:val="22"/>
          <w:szCs w:val="22"/>
        </w:rPr>
        <w:t>:</w:t>
      </w:r>
    </w:p>
    <w:p w14:paraId="2828327F" w14:textId="3147D0CE" w:rsidR="00575C6C" w:rsidRPr="00E473E5" w:rsidRDefault="00575C6C" w:rsidP="002512EB">
      <w:pPr>
        <w:spacing w:line="276" w:lineRule="auto"/>
        <w:ind w:firstLine="567"/>
        <w:jc w:val="both"/>
        <w:rPr>
          <w:rFonts w:ascii="GHEA Grapalat" w:eastAsia="GHEA Grapalat" w:hAnsi="GHEA Grapalat" w:cs="GHEA Grapalat"/>
          <w:bCs/>
          <w:sz w:val="22"/>
          <w:szCs w:val="22"/>
        </w:rPr>
      </w:pPr>
    </w:p>
    <w:p w14:paraId="46771FB0" w14:textId="77777777" w:rsidR="00F86947" w:rsidRPr="00665DCF" w:rsidRDefault="00F86947" w:rsidP="001A3265">
      <w:pPr>
        <w:pStyle w:val="Heading4"/>
        <w:numPr>
          <w:ilvl w:val="3"/>
          <w:numId w:val="10"/>
        </w:numPr>
        <w:ind w:left="567" w:firstLine="0"/>
        <w:rPr>
          <w:i w:val="0"/>
        </w:rPr>
      </w:pPr>
      <w:r w:rsidRPr="00665DCF">
        <w:rPr>
          <w:i w:val="0"/>
        </w:rPr>
        <w:t>Գնաճ և դրամավարկային քաղաքականություն</w:t>
      </w:r>
    </w:p>
    <w:p w14:paraId="52760476" w14:textId="39818585" w:rsidR="00062011" w:rsidRPr="002512EB" w:rsidRDefault="000C6655" w:rsidP="00062011">
      <w:pPr>
        <w:spacing w:line="276" w:lineRule="auto"/>
        <w:ind w:firstLine="567"/>
        <w:jc w:val="both"/>
        <w:rPr>
          <w:rFonts w:ascii="GHEA Grapalat" w:eastAsia="GHEA Grapalat" w:hAnsi="GHEA Grapalat" w:cs="GHEA Grapalat"/>
          <w:bCs/>
          <w:sz w:val="22"/>
          <w:szCs w:val="22"/>
        </w:rPr>
      </w:pPr>
      <w:r w:rsidRPr="002512EB">
        <w:rPr>
          <w:rFonts w:ascii="GHEA Grapalat" w:eastAsia="GHEA Grapalat" w:hAnsi="GHEA Grapalat" w:cs="GHEA Grapalat"/>
          <w:bCs/>
          <w:sz w:val="22"/>
          <w:szCs w:val="22"/>
        </w:rPr>
        <w:t>2025թ. ՀՀ սպառողական շուկայում գնաճը արագացել և տարեվերջին հաստատվել է ԿԲ թիրախային ցուցանիշի շուրջ: Տարվա ընթացքում ՀՀ ԿԲ-</w:t>
      </w:r>
      <w:r w:rsidR="00525169" w:rsidRPr="002512EB">
        <w:rPr>
          <w:rFonts w:ascii="GHEA Grapalat" w:eastAsia="GHEA Grapalat" w:hAnsi="GHEA Grapalat" w:cs="GHEA Grapalat"/>
          <w:bCs/>
          <w:sz w:val="22"/>
          <w:szCs w:val="22"/>
        </w:rPr>
        <w:t>ն</w:t>
      </w:r>
      <w:r w:rsidRPr="002512EB">
        <w:rPr>
          <w:rFonts w:ascii="GHEA Grapalat" w:eastAsia="GHEA Grapalat" w:hAnsi="GHEA Grapalat" w:cs="GHEA Grapalat"/>
          <w:bCs/>
          <w:sz w:val="22"/>
          <w:szCs w:val="22"/>
        </w:rPr>
        <w:t xml:space="preserve"> մեղմել է դրամավարկային պայմանները և քաղաքականության տոկոսադրույքը նվազեցրել 0.5 տոկոսային կետով՝ դեկտեմբերին սահմանելով այն 6.5%:</w:t>
      </w:r>
      <w:r>
        <w:rPr>
          <w:rFonts w:ascii="GHEA Grapalat" w:eastAsia="GHEA Grapalat" w:hAnsi="GHEA Grapalat" w:cs="GHEA Grapalat"/>
          <w:bCs/>
          <w:sz w:val="22"/>
          <w:szCs w:val="22"/>
        </w:rPr>
        <w:t xml:space="preserve"> Նախորդ տարվա ընթացքում սննդամթերքի գների նվազման հետևանքով ձևավորված գնանկումային միջավայրի համեմատ, գնաճի արագացումը հիմնականում արտացոլել է գների վերականգնման գործընթացը, ինչին նպաստել են բարձր ներքին պահանջարկն ու համաշխարհային տնտեսությունից փոխանցվող գնաճային ճնշումները: </w:t>
      </w:r>
      <w:r w:rsidRPr="00062011">
        <w:rPr>
          <w:rFonts w:ascii="GHEA Grapalat" w:eastAsia="GHEA Grapalat" w:hAnsi="GHEA Grapalat" w:cs="GHEA Grapalat"/>
          <w:bCs/>
          <w:sz w:val="22"/>
          <w:szCs w:val="22"/>
        </w:rPr>
        <w:t xml:space="preserve">12 ամսյա գնաճը </w:t>
      </w:r>
      <w:r>
        <w:rPr>
          <w:rFonts w:ascii="GHEA Grapalat" w:eastAsia="GHEA Grapalat" w:hAnsi="GHEA Grapalat" w:cs="GHEA Grapalat"/>
          <w:bCs/>
          <w:sz w:val="22"/>
          <w:szCs w:val="22"/>
        </w:rPr>
        <w:t>և միջին գնաճը կազմել են 3.3</w:t>
      </w:r>
      <w:r w:rsidRPr="00062011">
        <w:rPr>
          <w:rFonts w:ascii="GHEA Grapalat" w:eastAsia="GHEA Grapalat" w:hAnsi="GHEA Grapalat" w:cs="GHEA Grapalat"/>
          <w:bCs/>
          <w:sz w:val="22"/>
          <w:szCs w:val="22"/>
        </w:rPr>
        <w:t xml:space="preserve">%, իսկ բնականոն գնաճը՝ </w:t>
      </w:r>
      <w:r>
        <w:rPr>
          <w:rFonts w:ascii="GHEA Grapalat" w:eastAsia="GHEA Grapalat" w:hAnsi="GHEA Grapalat" w:cs="GHEA Grapalat"/>
          <w:bCs/>
          <w:sz w:val="22"/>
          <w:szCs w:val="22"/>
        </w:rPr>
        <w:t>4.3</w:t>
      </w:r>
      <w:r w:rsidRPr="00062011">
        <w:rPr>
          <w:rFonts w:ascii="GHEA Grapalat" w:eastAsia="GHEA Grapalat" w:hAnsi="GHEA Grapalat" w:cs="GHEA Grapalat"/>
          <w:bCs/>
          <w:sz w:val="22"/>
          <w:szCs w:val="22"/>
        </w:rPr>
        <w:t>%</w:t>
      </w:r>
      <w:r w:rsidRPr="002512EB">
        <w:rPr>
          <w:rFonts w:ascii="GHEA Grapalat" w:eastAsia="GHEA Grapalat" w:hAnsi="GHEA Grapalat" w:cs="GHEA Grapalat"/>
          <w:bCs/>
          <w:sz w:val="22"/>
          <w:szCs w:val="22"/>
        </w:rPr>
        <w:t>:</w:t>
      </w:r>
    </w:p>
    <w:p w14:paraId="14D5ABC9" w14:textId="77777777" w:rsidR="00B93CAB" w:rsidRPr="00B93CAB" w:rsidRDefault="00B93CAB" w:rsidP="00B93CAB">
      <w:pPr>
        <w:spacing w:line="276" w:lineRule="auto"/>
        <w:ind w:firstLine="567"/>
        <w:jc w:val="both"/>
        <w:rPr>
          <w:rFonts w:ascii="GHEA Grapalat" w:eastAsia="GHEA Grapalat" w:hAnsi="GHEA Grapalat" w:cs="GHEA Grapalat"/>
          <w:bCs/>
          <w:sz w:val="22"/>
          <w:szCs w:val="22"/>
        </w:rPr>
      </w:pPr>
    </w:p>
    <w:p w14:paraId="2A63B46A" w14:textId="77777777" w:rsidR="00B93CAB" w:rsidRPr="00062011" w:rsidRDefault="00B93CAB" w:rsidP="00B93CAB">
      <w:pPr>
        <w:keepNext/>
        <w:keepLines/>
        <w:tabs>
          <w:tab w:val="left" w:pos="0"/>
          <w:tab w:val="left" w:pos="284"/>
          <w:tab w:val="left" w:pos="1276"/>
          <w:tab w:val="left" w:pos="1888"/>
        </w:tabs>
        <w:autoSpaceDE w:val="0"/>
        <w:autoSpaceDN w:val="0"/>
        <w:adjustRightInd w:val="0"/>
        <w:spacing w:line="276" w:lineRule="auto"/>
        <w:rPr>
          <w:rFonts w:ascii="GHEA Grapalat" w:eastAsia="Calibri" w:hAnsi="GHEA Grapalat" w:cs="Sylfaen"/>
          <w:b/>
          <w:sz w:val="18"/>
          <w:szCs w:val="18"/>
        </w:rPr>
      </w:pPr>
      <w:r w:rsidRPr="00062011">
        <w:rPr>
          <w:rFonts w:ascii="GHEA Grapalat" w:eastAsia="Calibri" w:hAnsi="GHEA Grapalat" w:cs="Sylfaen"/>
          <w:b/>
          <w:sz w:val="18"/>
          <w:szCs w:val="18"/>
        </w:rPr>
        <w:t>Գծապատկեր 1</w:t>
      </w:r>
      <w:r>
        <w:rPr>
          <w:rFonts w:ascii="GHEA Grapalat" w:eastAsia="Calibri" w:hAnsi="GHEA Grapalat" w:cs="Sylfaen"/>
          <w:b/>
          <w:sz w:val="18"/>
          <w:szCs w:val="18"/>
        </w:rPr>
        <w:t>5</w:t>
      </w:r>
      <w:r w:rsidRPr="00062011">
        <w:rPr>
          <w:rFonts w:ascii="GHEA Grapalat" w:eastAsia="Calibri" w:hAnsi="GHEA Grapalat" w:cs="Sylfaen"/>
          <w:b/>
          <w:sz w:val="18"/>
          <w:szCs w:val="18"/>
        </w:rPr>
        <w:t>.</w:t>
      </w:r>
      <w:r w:rsidRPr="00062011">
        <w:rPr>
          <w:rFonts w:ascii="GHEA Grapalat" w:hAnsi="GHEA Grapalat"/>
          <w:sz w:val="18"/>
          <w:szCs w:val="18"/>
        </w:rPr>
        <w:t xml:space="preserve"> </w:t>
      </w:r>
      <w:r w:rsidRPr="00062011">
        <w:rPr>
          <w:rFonts w:ascii="GHEA Grapalat" w:eastAsia="Calibri" w:hAnsi="GHEA Grapalat" w:cs="Sylfaen"/>
          <w:b/>
          <w:sz w:val="18"/>
          <w:szCs w:val="18"/>
        </w:rPr>
        <w:t>Գնաճի տեմպերը և ԿԲ տոկոսադրույքը ըստ ամիսների</w:t>
      </w:r>
      <w:r>
        <w:rPr>
          <w:rFonts w:ascii="GHEA Grapalat" w:eastAsia="Calibri" w:hAnsi="GHEA Grapalat" w:cs="Sylfaen"/>
          <w:b/>
          <w:sz w:val="18"/>
          <w:szCs w:val="18"/>
        </w:rPr>
        <w:t>, 202</w:t>
      </w:r>
      <w:r w:rsidRPr="00094FE8">
        <w:rPr>
          <w:rFonts w:ascii="GHEA Grapalat" w:eastAsia="Calibri" w:hAnsi="GHEA Grapalat" w:cs="Sylfaen"/>
          <w:b/>
          <w:sz w:val="18"/>
          <w:szCs w:val="18"/>
        </w:rPr>
        <w:t>1</w:t>
      </w:r>
      <w:r>
        <w:rPr>
          <w:rFonts w:ascii="GHEA Grapalat" w:eastAsia="Calibri" w:hAnsi="GHEA Grapalat" w:cs="Sylfaen"/>
          <w:b/>
          <w:sz w:val="18"/>
          <w:szCs w:val="18"/>
        </w:rPr>
        <w:t>-202</w:t>
      </w:r>
      <w:r w:rsidRPr="00094FE8">
        <w:rPr>
          <w:rFonts w:ascii="GHEA Grapalat" w:eastAsia="Calibri" w:hAnsi="GHEA Grapalat" w:cs="Sylfaen"/>
          <w:b/>
          <w:sz w:val="18"/>
          <w:szCs w:val="18"/>
        </w:rPr>
        <w:t>5</w:t>
      </w:r>
      <w:r w:rsidRPr="00062011">
        <w:rPr>
          <w:rFonts w:ascii="GHEA Grapalat" w:eastAsia="Calibri" w:hAnsi="GHEA Grapalat" w:cs="Sylfaen"/>
          <w:b/>
          <w:sz w:val="18"/>
          <w:szCs w:val="18"/>
        </w:rPr>
        <w:t>թթ</w:t>
      </w:r>
      <w:r w:rsidRPr="00062011">
        <w:rPr>
          <w:rFonts w:ascii="Cambria Math" w:eastAsia="MS Gothic" w:hAnsi="Cambria Math" w:cs="Cambria Math"/>
          <w:b/>
          <w:sz w:val="18"/>
          <w:szCs w:val="18"/>
        </w:rPr>
        <w:t>․</w:t>
      </w:r>
      <w:r w:rsidRPr="00062011">
        <w:rPr>
          <w:rFonts w:ascii="GHEA Grapalat" w:eastAsia="MS Mincho" w:hAnsi="GHEA Grapalat" w:cs="Arial"/>
          <w:b/>
          <w:sz w:val="18"/>
          <w:szCs w:val="18"/>
        </w:rPr>
        <w:t>,</w:t>
      </w:r>
      <w:r w:rsidRPr="00062011">
        <w:rPr>
          <w:rFonts w:ascii="GHEA Grapalat" w:eastAsia="Calibri" w:hAnsi="GHEA Grapalat" w:cs="Sylfaen"/>
          <w:b/>
          <w:sz w:val="18"/>
          <w:szCs w:val="18"/>
        </w:rPr>
        <w:t xml:space="preserve"> %</w:t>
      </w:r>
    </w:p>
    <w:p w14:paraId="4E0D1B40" w14:textId="77777777" w:rsidR="00B93CAB" w:rsidRPr="00D70CAF" w:rsidRDefault="00B93CAB" w:rsidP="00B93CAB">
      <w:pPr>
        <w:spacing w:line="276" w:lineRule="auto"/>
        <w:jc w:val="both"/>
        <w:rPr>
          <w:rFonts w:ascii="GHEA Grapalat" w:eastAsia="GHEA Grapalat" w:hAnsi="GHEA Grapalat" w:cs="GHEA Grapalat"/>
          <w:sz w:val="22"/>
          <w:szCs w:val="22"/>
        </w:rPr>
      </w:pPr>
      <w:r w:rsidRPr="00D70CAF">
        <w:rPr>
          <w:rFonts w:ascii="GHEA Grapalat" w:eastAsia="GHEA Grapalat" w:hAnsi="GHEA Grapalat" w:cs="GHEA Grapalat"/>
          <w:sz w:val="22"/>
          <w:szCs w:val="22"/>
          <w:lang w:val="en-US"/>
        </w:rPr>
        <w:drawing>
          <wp:inline distT="0" distB="0" distL="0" distR="0" wp14:anchorId="63B78730" wp14:editId="1BE9B2BF">
            <wp:extent cx="6448425" cy="2519680"/>
            <wp:effectExtent l="0" t="0" r="9525" b="13970"/>
            <wp:docPr id="7"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7DB50CC" w14:textId="77777777" w:rsidR="00B93CAB" w:rsidRPr="00BC2C75" w:rsidRDefault="00B93CAB" w:rsidP="00B93CAB">
      <w:pPr>
        <w:spacing w:line="276" w:lineRule="auto"/>
        <w:jc w:val="both"/>
        <w:rPr>
          <w:rFonts w:ascii="GHEA Grapalat" w:eastAsia="GHEA Grapalat" w:hAnsi="GHEA Grapalat" w:cs="GHEA Grapalat"/>
          <w:i/>
          <w:iCs/>
          <w:sz w:val="16"/>
          <w:szCs w:val="16"/>
        </w:rPr>
      </w:pPr>
      <w:r w:rsidRPr="00BC2C75">
        <w:rPr>
          <w:rFonts w:ascii="GHEA Grapalat" w:eastAsia="GHEA Grapalat" w:hAnsi="GHEA Grapalat" w:cs="GHEA Grapalat"/>
          <w:i/>
          <w:iCs/>
          <w:color w:val="000000"/>
          <w:sz w:val="16"/>
          <w:szCs w:val="16"/>
        </w:rPr>
        <w:t>Աղբյուրը՝ ՀՀ ԿԲ</w:t>
      </w:r>
    </w:p>
    <w:p w14:paraId="7944FFD5" w14:textId="77777777" w:rsidR="00062011" w:rsidRPr="002512EB" w:rsidRDefault="00062011" w:rsidP="00BC2C75">
      <w:pPr>
        <w:spacing w:line="276" w:lineRule="auto"/>
        <w:ind w:firstLine="567"/>
        <w:jc w:val="both"/>
        <w:rPr>
          <w:rFonts w:ascii="GHEA Grapalat" w:eastAsia="GHEA Grapalat" w:hAnsi="GHEA Grapalat" w:cs="GHEA Grapalat"/>
          <w:bCs/>
          <w:sz w:val="22"/>
          <w:szCs w:val="22"/>
        </w:rPr>
      </w:pPr>
    </w:p>
    <w:p w14:paraId="1CF69FF3" w14:textId="20833A71" w:rsidR="00871455" w:rsidRPr="002512EB" w:rsidRDefault="00094FE8" w:rsidP="00BC2C75">
      <w:pPr>
        <w:spacing w:line="276" w:lineRule="auto"/>
        <w:ind w:firstLine="567"/>
        <w:jc w:val="both"/>
        <w:rPr>
          <w:rFonts w:ascii="GHEA Grapalat" w:eastAsia="GHEA Grapalat" w:hAnsi="GHEA Grapalat" w:cs="GHEA Grapalat"/>
          <w:bCs/>
          <w:sz w:val="22"/>
          <w:szCs w:val="22"/>
        </w:rPr>
      </w:pPr>
      <w:r w:rsidRPr="002512EB">
        <w:rPr>
          <w:rFonts w:ascii="GHEA Grapalat" w:eastAsia="GHEA Grapalat" w:hAnsi="GHEA Grapalat" w:cs="GHEA Grapalat"/>
          <w:bCs/>
          <w:sz w:val="22"/>
          <w:szCs w:val="22"/>
        </w:rPr>
        <w:t>Միջին գնաճին առավելապես նպաստել է «Սննդամթերք և ոչ ալկոհոլային խմիչքներ» ապրանքախմբում արձանագրված 5% գների աճը (նպաստումը գնաճին` 2</w:t>
      </w:r>
      <w:r w:rsidRPr="002512EB">
        <w:rPr>
          <w:rFonts w:ascii="Cambria Math" w:eastAsia="GHEA Grapalat" w:hAnsi="Cambria Math" w:cs="Cambria Math"/>
          <w:bCs/>
          <w:sz w:val="22"/>
          <w:szCs w:val="22"/>
        </w:rPr>
        <w:t>․</w:t>
      </w:r>
      <w:r w:rsidRPr="002512EB">
        <w:rPr>
          <w:rFonts w:ascii="GHEA Grapalat" w:eastAsia="GHEA Grapalat" w:hAnsi="GHEA Grapalat" w:cs="GHEA Grapalat"/>
          <w:bCs/>
          <w:sz w:val="22"/>
          <w:szCs w:val="22"/>
        </w:rPr>
        <w:t>0 տոկոսային կետ), ինչը հիմնականում պայմանավորված է եղել բանջարեղեն, յուղեր և ճարպեր, մրգեր ապրանքատեսակների գների նպաստումներով: «Ծառայություններ» ապրանքախմբում արձանագրված 3% գների աճը (նպաստումը գնաճին` 1</w:t>
      </w:r>
      <w:r w:rsidRPr="002512EB">
        <w:rPr>
          <w:rFonts w:ascii="Cambria Math" w:eastAsia="GHEA Grapalat" w:hAnsi="Cambria Math" w:cs="Cambria Math"/>
          <w:bCs/>
          <w:sz w:val="22"/>
          <w:szCs w:val="22"/>
        </w:rPr>
        <w:t>․</w:t>
      </w:r>
      <w:r w:rsidRPr="002512EB">
        <w:rPr>
          <w:rFonts w:ascii="GHEA Grapalat" w:eastAsia="GHEA Grapalat" w:hAnsi="GHEA Grapalat" w:cs="GHEA Grapalat"/>
          <w:bCs/>
          <w:sz w:val="22"/>
          <w:szCs w:val="22"/>
        </w:rPr>
        <w:t>0 տոկոսային կետ) պայմանավորված է եղել տրանսպորտի ծառայությունների (մասնավորապես</w:t>
      </w:r>
      <w:r w:rsidR="0001659C">
        <w:rPr>
          <w:rFonts w:ascii="GHEA Grapalat" w:eastAsia="GHEA Grapalat" w:hAnsi="GHEA Grapalat" w:cs="GHEA Grapalat"/>
          <w:bCs/>
          <w:sz w:val="22"/>
          <w:szCs w:val="22"/>
        </w:rPr>
        <w:t>՝</w:t>
      </w:r>
      <w:r w:rsidRPr="002512EB">
        <w:rPr>
          <w:rFonts w:ascii="GHEA Grapalat" w:eastAsia="GHEA Grapalat" w:hAnsi="GHEA Grapalat" w:cs="GHEA Grapalat"/>
          <w:bCs/>
          <w:sz w:val="22"/>
          <w:szCs w:val="22"/>
        </w:rPr>
        <w:t xml:space="preserve"> օդային մարդատար տրանսպորտի ծառայությունների) և բարձրագույն կրթության ծառայությունների սակագների նպաստումներով։ «Ալկոհոլային խմիչքներ, ծխախոտային արտադրատեսակներ» խմբում արձանագրվել է 6% գնաճ (նպաստումը գնաճին` 0.3 տոկոսային կետ), իսկ «Ոչ պարենային ապրանքներ» խմբում</w:t>
      </w:r>
      <w:r w:rsidR="00B472D4" w:rsidRPr="00493BAB">
        <w:rPr>
          <w:rFonts w:ascii="GHEA Grapalat" w:eastAsia="GHEA Grapalat" w:hAnsi="GHEA Grapalat" w:cs="GHEA Grapalat"/>
          <w:bCs/>
          <w:sz w:val="22"/>
          <w:szCs w:val="22"/>
        </w:rPr>
        <w:t>՝</w:t>
      </w:r>
      <w:r w:rsidRPr="002512EB">
        <w:rPr>
          <w:rFonts w:ascii="GHEA Grapalat" w:eastAsia="GHEA Grapalat" w:hAnsi="GHEA Grapalat" w:cs="GHEA Grapalat"/>
          <w:bCs/>
          <w:sz w:val="22"/>
          <w:szCs w:val="22"/>
        </w:rPr>
        <w:t xml:space="preserve"> 0</w:t>
      </w:r>
      <w:r w:rsidRPr="002512EB">
        <w:rPr>
          <w:rFonts w:ascii="Cambria Math" w:eastAsia="GHEA Grapalat" w:hAnsi="Cambria Math" w:cs="Cambria Math"/>
          <w:bCs/>
          <w:sz w:val="22"/>
          <w:szCs w:val="22"/>
        </w:rPr>
        <w:t>․</w:t>
      </w:r>
      <w:r w:rsidRPr="002512EB">
        <w:rPr>
          <w:rFonts w:ascii="GHEA Grapalat" w:eastAsia="GHEA Grapalat" w:hAnsi="GHEA Grapalat" w:cs="GHEA Grapalat"/>
          <w:bCs/>
          <w:sz w:val="22"/>
          <w:szCs w:val="22"/>
        </w:rPr>
        <w:t>1% գնաճ</w:t>
      </w:r>
      <w:r w:rsidR="00871455" w:rsidRPr="002512EB">
        <w:rPr>
          <w:rFonts w:ascii="GHEA Grapalat" w:eastAsia="GHEA Grapalat" w:hAnsi="GHEA Grapalat" w:cs="GHEA Grapalat"/>
          <w:bCs/>
          <w:sz w:val="22"/>
          <w:szCs w:val="22"/>
        </w:rPr>
        <w:t>:</w:t>
      </w:r>
    </w:p>
    <w:p w14:paraId="0DA6963C" w14:textId="002D00C1" w:rsidR="00716F1C" w:rsidRDefault="00716F1C" w:rsidP="00BC2C75">
      <w:pPr>
        <w:spacing w:line="276" w:lineRule="auto"/>
        <w:ind w:firstLine="567"/>
        <w:jc w:val="both"/>
        <w:rPr>
          <w:rFonts w:ascii="GHEA Grapalat" w:eastAsia="GHEA Grapalat" w:hAnsi="GHEA Grapalat" w:cs="GHEA Grapalat"/>
          <w:bCs/>
          <w:sz w:val="22"/>
          <w:szCs w:val="22"/>
        </w:rPr>
      </w:pPr>
    </w:p>
    <w:p w14:paraId="78E95B01" w14:textId="29D028E5" w:rsidR="00367E03" w:rsidRDefault="00367E03" w:rsidP="00BC2C75">
      <w:pPr>
        <w:spacing w:line="276" w:lineRule="auto"/>
        <w:ind w:firstLine="567"/>
        <w:jc w:val="both"/>
        <w:rPr>
          <w:rFonts w:ascii="GHEA Grapalat" w:eastAsia="GHEA Grapalat" w:hAnsi="GHEA Grapalat" w:cs="GHEA Grapalat"/>
          <w:bCs/>
          <w:sz w:val="22"/>
          <w:szCs w:val="22"/>
        </w:rPr>
      </w:pPr>
    </w:p>
    <w:p w14:paraId="31BD9908" w14:textId="77777777" w:rsidR="0060687B" w:rsidRDefault="0060687B" w:rsidP="00BC2C75">
      <w:pPr>
        <w:spacing w:line="276" w:lineRule="auto"/>
        <w:ind w:firstLine="567"/>
        <w:jc w:val="both"/>
        <w:rPr>
          <w:rFonts w:ascii="GHEA Grapalat" w:eastAsia="GHEA Grapalat" w:hAnsi="GHEA Grapalat" w:cs="GHEA Grapalat"/>
          <w:bCs/>
          <w:sz w:val="22"/>
          <w:szCs w:val="22"/>
        </w:rPr>
      </w:pPr>
    </w:p>
    <w:p w14:paraId="2D78BEB4" w14:textId="3B637A75" w:rsidR="00367E03" w:rsidRDefault="00367E03" w:rsidP="00BC2C75">
      <w:pPr>
        <w:spacing w:line="276" w:lineRule="auto"/>
        <w:ind w:firstLine="567"/>
        <w:jc w:val="both"/>
        <w:rPr>
          <w:rFonts w:ascii="GHEA Grapalat" w:eastAsia="GHEA Grapalat" w:hAnsi="GHEA Grapalat" w:cs="GHEA Grapalat"/>
          <w:bCs/>
          <w:sz w:val="22"/>
          <w:szCs w:val="22"/>
        </w:rPr>
      </w:pPr>
    </w:p>
    <w:p w14:paraId="725DB9E3" w14:textId="77777777" w:rsidR="00367E03" w:rsidRPr="002512EB" w:rsidRDefault="00367E03" w:rsidP="00BC2C75">
      <w:pPr>
        <w:spacing w:line="276" w:lineRule="auto"/>
        <w:ind w:firstLine="567"/>
        <w:jc w:val="both"/>
        <w:rPr>
          <w:rFonts w:ascii="GHEA Grapalat" w:eastAsia="GHEA Grapalat" w:hAnsi="GHEA Grapalat" w:cs="GHEA Grapalat"/>
          <w:bCs/>
          <w:sz w:val="22"/>
          <w:szCs w:val="22"/>
        </w:rPr>
      </w:pPr>
    </w:p>
    <w:p w14:paraId="683B7C6E" w14:textId="77777777" w:rsidR="00B93CAB" w:rsidRPr="00CA6DDB" w:rsidRDefault="00B93CAB" w:rsidP="00B93CAB">
      <w:pPr>
        <w:keepNext/>
        <w:keepLines/>
        <w:tabs>
          <w:tab w:val="left" w:pos="284"/>
          <w:tab w:val="left" w:pos="1560"/>
          <w:tab w:val="left" w:pos="1980"/>
        </w:tabs>
        <w:autoSpaceDE w:val="0"/>
        <w:autoSpaceDN w:val="0"/>
        <w:adjustRightInd w:val="0"/>
        <w:spacing w:line="276" w:lineRule="auto"/>
        <w:rPr>
          <w:rFonts w:ascii="GHEA Grapalat" w:hAnsi="GHEA Grapalat" w:cs="Sylfaen"/>
          <w:b/>
          <w:sz w:val="18"/>
          <w:szCs w:val="18"/>
          <w:lang w:eastAsia="x-none"/>
        </w:rPr>
      </w:pPr>
      <w:r w:rsidRPr="00CA6DDB">
        <w:rPr>
          <w:rFonts w:ascii="GHEA Grapalat" w:eastAsia="GHEA Grapalat" w:hAnsi="GHEA Grapalat" w:cs="GHEA Grapalat"/>
          <w:b/>
          <w:sz w:val="18"/>
          <w:szCs w:val="18"/>
        </w:rPr>
        <w:lastRenderedPageBreak/>
        <w:t>Գծապատկեր 1</w:t>
      </w:r>
      <w:r>
        <w:rPr>
          <w:rFonts w:ascii="GHEA Grapalat" w:eastAsia="GHEA Grapalat" w:hAnsi="GHEA Grapalat" w:cs="GHEA Grapalat"/>
          <w:b/>
          <w:sz w:val="18"/>
          <w:szCs w:val="18"/>
        </w:rPr>
        <w:t>6</w:t>
      </w:r>
      <w:r w:rsidRPr="00CA6DDB">
        <w:rPr>
          <w:rFonts w:ascii="GHEA Grapalat" w:eastAsia="GHEA Grapalat" w:hAnsi="GHEA Grapalat" w:cs="GHEA Grapalat"/>
          <w:b/>
          <w:sz w:val="18"/>
          <w:szCs w:val="18"/>
        </w:rPr>
        <w:t>.</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Գնաճի նպաստումները խոշոր ապրանքախմբերով</w:t>
      </w:r>
      <w:r>
        <w:rPr>
          <w:rFonts w:ascii="GHEA Grapalat" w:eastAsia="GHEA Grapalat" w:hAnsi="GHEA Grapalat" w:cs="GHEA Grapalat"/>
          <w:b/>
          <w:sz w:val="18"/>
          <w:szCs w:val="18"/>
        </w:rPr>
        <w:t>, 202</w:t>
      </w:r>
      <w:r w:rsidRPr="00094FE8">
        <w:rPr>
          <w:rFonts w:ascii="GHEA Grapalat" w:eastAsia="GHEA Grapalat" w:hAnsi="GHEA Grapalat" w:cs="GHEA Grapalat"/>
          <w:b/>
          <w:sz w:val="18"/>
          <w:szCs w:val="18"/>
        </w:rPr>
        <w:t>1</w:t>
      </w:r>
      <w:r>
        <w:rPr>
          <w:rFonts w:ascii="GHEA Grapalat" w:eastAsia="GHEA Grapalat" w:hAnsi="GHEA Grapalat" w:cs="GHEA Grapalat"/>
          <w:b/>
          <w:sz w:val="18"/>
          <w:szCs w:val="18"/>
        </w:rPr>
        <w:t>-202</w:t>
      </w:r>
      <w:r w:rsidRPr="002A607E">
        <w:rPr>
          <w:rFonts w:ascii="GHEA Grapalat" w:eastAsia="GHEA Grapalat" w:hAnsi="GHEA Grapalat" w:cs="GHEA Grapalat"/>
          <w:b/>
          <w:sz w:val="18"/>
          <w:szCs w:val="18"/>
        </w:rPr>
        <w:t>5</w:t>
      </w:r>
      <w:r w:rsidRPr="00CA6DDB">
        <w:rPr>
          <w:rFonts w:ascii="GHEA Grapalat" w:eastAsia="GHEA Grapalat" w:hAnsi="GHEA Grapalat" w:cs="GHEA Grapalat"/>
          <w:b/>
          <w:sz w:val="18"/>
          <w:szCs w:val="18"/>
        </w:rPr>
        <w:t>թթ., տոկոսային կետ</w:t>
      </w:r>
    </w:p>
    <w:p w14:paraId="4D217009" w14:textId="77777777" w:rsidR="00B93CAB" w:rsidRPr="00D70CAF" w:rsidRDefault="00B93CAB" w:rsidP="00B93CAB">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16D6D322" wp14:editId="4A6E7A2C">
            <wp:extent cx="3168000" cy="2664000"/>
            <wp:effectExtent l="0" t="0" r="13970" b="317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D70CAF">
        <w:rPr>
          <w:rFonts w:ascii="GHEA Grapalat" w:hAnsi="GHEA Grapalat" w:cs="Sylfaen"/>
          <w:b/>
          <w:sz w:val="22"/>
          <w:szCs w:val="22"/>
          <w:lang w:eastAsia="x-none"/>
        </w:rPr>
        <w:t xml:space="preserve"> </w:t>
      </w:r>
      <w:r w:rsidRPr="00D70CAF">
        <w:rPr>
          <w:rFonts w:ascii="GHEA Grapalat" w:hAnsi="GHEA Grapalat" w:cs="Sylfaen"/>
          <w:b/>
          <w:szCs w:val="22"/>
          <w:lang w:val="en-US"/>
        </w:rPr>
        <w:drawing>
          <wp:inline distT="0" distB="0" distL="0" distR="0" wp14:anchorId="0B51B404" wp14:editId="5873C29C">
            <wp:extent cx="3168000" cy="2664000"/>
            <wp:effectExtent l="0" t="0" r="13970" b="317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6D3EE93" w14:textId="77777777" w:rsidR="00B93CAB" w:rsidRPr="00D70CAF" w:rsidRDefault="00B93CAB" w:rsidP="00B93CAB">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6BFDCD9C" wp14:editId="02C5CBF1">
            <wp:extent cx="6381750" cy="695325"/>
            <wp:effectExtent l="0" t="0" r="0"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B74470E" w14:textId="77777777" w:rsidR="00B93CAB" w:rsidRPr="00BC2C75" w:rsidRDefault="00B93CAB" w:rsidP="00B93CAB">
      <w:pPr>
        <w:spacing w:line="276" w:lineRule="auto"/>
        <w:rPr>
          <w:rFonts w:ascii="GHEA Grapalat" w:hAnsi="GHEA Grapalat" w:cs="Sylfaen"/>
          <w:b/>
          <w:i/>
          <w:iCs/>
          <w:sz w:val="16"/>
          <w:szCs w:val="16"/>
          <w:lang w:eastAsia="x-none"/>
        </w:rPr>
      </w:pPr>
      <w:r w:rsidRPr="00BC2C75">
        <w:rPr>
          <w:rFonts w:ascii="GHEA Grapalat" w:eastAsia="GHEA Grapalat" w:hAnsi="GHEA Grapalat" w:cs="GHEA Grapalat"/>
          <w:i/>
          <w:iCs/>
          <w:color w:val="000000"/>
          <w:sz w:val="16"/>
          <w:szCs w:val="16"/>
        </w:rPr>
        <w:t>Աղբյուրը՝ ՀՀ ՎԿ և ՀՀ ՖՆ հաշվարկներ</w:t>
      </w:r>
    </w:p>
    <w:p w14:paraId="3D75E025" w14:textId="26D9E6AA" w:rsidR="00511EB7" w:rsidRPr="00B06C86" w:rsidRDefault="00511EB7" w:rsidP="00B472D4">
      <w:pPr>
        <w:spacing w:line="276" w:lineRule="auto"/>
        <w:ind w:firstLine="567"/>
        <w:jc w:val="both"/>
        <w:rPr>
          <w:rFonts w:ascii="GHEA Grapalat" w:eastAsia="GHEA Grapalat" w:hAnsi="GHEA Grapalat" w:cs="GHEA Grapalat"/>
          <w:bCs/>
          <w:sz w:val="22"/>
          <w:szCs w:val="22"/>
        </w:rPr>
      </w:pPr>
    </w:p>
    <w:p w14:paraId="0F491466" w14:textId="5B0B0D54" w:rsidR="009135F3" w:rsidRDefault="002A607E" w:rsidP="00B472D4">
      <w:pPr>
        <w:spacing w:line="276" w:lineRule="auto"/>
        <w:ind w:firstLine="567"/>
        <w:jc w:val="both"/>
        <w:rPr>
          <w:rFonts w:ascii="GHEA Grapalat" w:eastAsia="GHEA Grapalat" w:hAnsi="GHEA Grapalat" w:cs="GHEA Grapalat"/>
          <w:bCs/>
          <w:sz w:val="22"/>
          <w:szCs w:val="22"/>
        </w:rPr>
      </w:pPr>
      <w:r w:rsidRPr="00B472D4">
        <w:rPr>
          <w:rFonts w:ascii="GHEA Grapalat" w:eastAsia="GHEA Grapalat" w:hAnsi="GHEA Grapalat" w:cs="GHEA Grapalat"/>
          <w:bCs/>
          <w:sz w:val="22"/>
          <w:szCs w:val="22"/>
        </w:rPr>
        <w:t>2025թ. ԿԲ-ն նվազեցրել է քաղաքականության տոկոսադրույքը 0.5 տոկոսային կետով՝</w:t>
      </w:r>
      <w:r w:rsidR="000A619C" w:rsidRPr="00B472D4">
        <w:rPr>
          <w:rFonts w:ascii="GHEA Grapalat" w:eastAsia="GHEA Grapalat" w:hAnsi="GHEA Grapalat" w:cs="GHEA Grapalat"/>
          <w:bCs/>
          <w:sz w:val="22"/>
          <w:szCs w:val="22"/>
        </w:rPr>
        <w:t xml:space="preserve"> տարեվերջին</w:t>
      </w:r>
      <w:r w:rsidRPr="00B472D4">
        <w:rPr>
          <w:rFonts w:ascii="GHEA Grapalat" w:eastAsia="GHEA Grapalat" w:hAnsi="GHEA Grapalat" w:cs="GHEA Grapalat"/>
          <w:bCs/>
          <w:sz w:val="22"/>
          <w:szCs w:val="22"/>
        </w:rPr>
        <w:t xml:space="preserve"> հասցնելով այն 6.5% մակարդակի։ 2023թ</w:t>
      </w:r>
      <w:r w:rsidRPr="00B472D4">
        <w:rPr>
          <w:rFonts w:ascii="Cambria Math" w:eastAsia="GHEA Grapalat" w:hAnsi="Cambria Math" w:cs="Cambria Math"/>
          <w:bCs/>
          <w:sz w:val="22"/>
          <w:szCs w:val="22"/>
        </w:rPr>
        <w:t>․</w:t>
      </w:r>
      <w:r w:rsidRPr="00B472D4">
        <w:rPr>
          <w:rFonts w:ascii="GHEA Grapalat" w:eastAsia="GHEA Grapalat" w:hAnsi="GHEA Grapalat" w:cs="GHEA Grapalat"/>
          <w:bCs/>
          <w:sz w:val="22"/>
          <w:szCs w:val="22"/>
        </w:rPr>
        <w:t>-ից սկսած դրամավարկային պայմանների մեղմացման ազդեցությունները, ինչպես նաև ՀՀ երկրի ռիսկի հավելավճարի նվազումը 2025թ</w:t>
      </w:r>
      <w:r w:rsidRPr="00B472D4">
        <w:rPr>
          <w:rFonts w:ascii="Cambria Math" w:eastAsia="GHEA Grapalat" w:hAnsi="Cambria Math" w:cs="Cambria Math"/>
          <w:bCs/>
          <w:sz w:val="22"/>
          <w:szCs w:val="22"/>
        </w:rPr>
        <w:t>․</w:t>
      </w:r>
      <w:r w:rsidRPr="00B472D4">
        <w:rPr>
          <w:rFonts w:ascii="GHEA Grapalat" w:eastAsia="GHEA Grapalat" w:hAnsi="GHEA Grapalat" w:cs="GHEA Grapalat"/>
          <w:bCs/>
          <w:sz w:val="22"/>
          <w:szCs w:val="22"/>
        </w:rPr>
        <w:t xml:space="preserve"> հանգեցրել են պետական պարտատոմսերի տոկոսադրույքների նվազմանը եկամտաբերության կորի ամբողջ երկայնքով: Այնուամենայնիվ, ավանդների տոկոսադրույքները շարունակում են պահպանվել իրենց միջին մակարդակներում, իսկ վարկերի տոկոսադրույքները որոշակի</w:t>
      </w:r>
      <w:r w:rsidR="00B472D4" w:rsidRPr="00B06C86">
        <w:rPr>
          <w:rFonts w:ascii="GHEA Grapalat" w:eastAsia="GHEA Grapalat" w:hAnsi="GHEA Grapalat" w:cs="GHEA Grapalat"/>
          <w:bCs/>
          <w:sz w:val="22"/>
          <w:szCs w:val="22"/>
        </w:rPr>
        <w:t>որեն</w:t>
      </w:r>
      <w:r w:rsidRPr="00B472D4">
        <w:rPr>
          <w:rFonts w:ascii="GHEA Grapalat" w:eastAsia="GHEA Grapalat" w:hAnsi="GHEA Grapalat" w:cs="GHEA Grapalat"/>
          <w:bCs/>
          <w:sz w:val="22"/>
          <w:szCs w:val="22"/>
        </w:rPr>
        <w:t xml:space="preserve"> աճել են: </w:t>
      </w:r>
      <w:r w:rsidR="0005536E" w:rsidRPr="00B472D4">
        <w:rPr>
          <w:rFonts w:ascii="GHEA Grapalat" w:eastAsia="GHEA Grapalat" w:hAnsi="GHEA Grapalat" w:cs="GHEA Grapalat"/>
          <w:bCs/>
          <w:sz w:val="22"/>
          <w:szCs w:val="22"/>
        </w:rPr>
        <w:t>Հիպոտեկ</w:t>
      </w:r>
      <w:r w:rsidRPr="00B472D4">
        <w:rPr>
          <w:rFonts w:ascii="GHEA Grapalat" w:eastAsia="GHEA Grapalat" w:hAnsi="GHEA Grapalat" w:cs="GHEA Grapalat"/>
          <w:bCs/>
          <w:sz w:val="22"/>
          <w:szCs w:val="22"/>
        </w:rPr>
        <w:t>ային և սպառողական վարկերի տոկոսադրույքները 2025թ. ընթացքում պահպանվել են կայուն մակարդակներում</w:t>
      </w:r>
      <w:r w:rsidR="00871455" w:rsidRPr="00B472D4">
        <w:rPr>
          <w:rFonts w:ascii="GHEA Grapalat" w:eastAsia="GHEA Grapalat" w:hAnsi="GHEA Grapalat" w:cs="GHEA Grapalat"/>
          <w:bCs/>
          <w:sz w:val="22"/>
          <w:szCs w:val="22"/>
        </w:rPr>
        <w:t>։</w:t>
      </w:r>
    </w:p>
    <w:p w14:paraId="6C202C35" w14:textId="24E1F546" w:rsidR="00716F1C" w:rsidRDefault="00716F1C" w:rsidP="00716F1C">
      <w:pPr>
        <w:spacing w:line="276" w:lineRule="auto"/>
        <w:ind w:firstLine="567"/>
        <w:jc w:val="both"/>
        <w:rPr>
          <w:rFonts w:ascii="GHEA Grapalat" w:eastAsia="GHEA Grapalat" w:hAnsi="GHEA Grapalat" w:cs="GHEA Grapalat"/>
          <w:bCs/>
          <w:sz w:val="22"/>
          <w:szCs w:val="22"/>
        </w:rPr>
      </w:pPr>
      <w:bookmarkStart w:id="8" w:name="_Toc6389323"/>
      <w:bookmarkStart w:id="9" w:name="_Toc37763590"/>
    </w:p>
    <w:p w14:paraId="4DEB8335" w14:textId="77777777" w:rsidR="000645E3" w:rsidRPr="00CA6DDB" w:rsidRDefault="000645E3" w:rsidP="000645E3">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CA6DDB">
        <w:rPr>
          <w:rFonts w:ascii="GHEA Grapalat" w:eastAsia="GHEA Grapalat" w:hAnsi="GHEA Grapalat" w:cs="GHEA Grapalat"/>
          <w:b/>
          <w:sz w:val="18"/>
          <w:szCs w:val="18"/>
        </w:rPr>
        <w:t>Գծապատկեր 1</w:t>
      </w:r>
      <w:r>
        <w:rPr>
          <w:rFonts w:ascii="GHEA Grapalat" w:eastAsia="GHEA Grapalat" w:hAnsi="GHEA Grapalat" w:cs="GHEA Grapalat"/>
          <w:b/>
          <w:sz w:val="18"/>
          <w:szCs w:val="18"/>
        </w:rPr>
        <w:t>7</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ՀՀ դրամով տոկոսադրույքների միտումները ՀՀ ֆինանսական շուկաներում</w:t>
      </w:r>
      <w:r>
        <w:rPr>
          <w:rFonts w:ascii="GHEA Grapalat" w:eastAsia="GHEA Grapalat" w:hAnsi="GHEA Grapalat" w:cs="GHEA Grapalat"/>
          <w:b/>
          <w:sz w:val="18"/>
          <w:szCs w:val="18"/>
        </w:rPr>
        <w:t>, 2021-2025</w:t>
      </w:r>
      <w:r w:rsidRPr="00CA6DDB">
        <w:rPr>
          <w:rFonts w:ascii="GHEA Grapalat" w:eastAsia="GHEA Grapalat" w:hAnsi="GHEA Grapalat" w:cs="GHEA Grapalat"/>
          <w:b/>
          <w:sz w:val="18"/>
          <w:szCs w:val="18"/>
        </w:rPr>
        <w:t>թթ.,%</w:t>
      </w:r>
    </w:p>
    <w:p w14:paraId="5F155A73" w14:textId="77777777" w:rsidR="000645E3" w:rsidRPr="00345A1C" w:rsidRDefault="000645E3" w:rsidP="000645E3">
      <w:pPr>
        <w:spacing w:line="276" w:lineRule="auto"/>
        <w:rPr>
          <w:rFonts w:ascii="GHEA Grapalat" w:hAnsi="GHEA Grapalat" w:cs="GHEA Grapalat"/>
          <w:sz w:val="22"/>
          <w:szCs w:val="22"/>
        </w:rPr>
      </w:pPr>
      <w:r w:rsidRPr="00345A1C">
        <w:rPr>
          <w:rFonts w:ascii="GHEA Grapalat" w:hAnsi="GHEA Grapalat" w:cs="GHEA Grapalat"/>
          <w:sz w:val="22"/>
          <w:szCs w:val="22"/>
          <w:lang w:val="en-US"/>
        </w:rPr>
        <w:drawing>
          <wp:inline distT="0" distB="0" distL="0" distR="0" wp14:anchorId="7EE418DE" wp14:editId="0F9AF164">
            <wp:extent cx="6429375" cy="2505075"/>
            <wp:effectExtent l="0" t="0" r="9525" b="952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13BD195" w14:textId="77777777" w:rsidR="000645E3" w:rsidRPr="00BC2C75" w:rsidRDefault="000645E3" w:rsidP="000645E3">
      <w:pPr>
        <w:spacing w:line="276" w:lineRule="auto"/>
        <w:rPr>
          <w:rFonts w:ascii="GHEA Grapalat" w:hAnsi="GHEA Grapalat" w:cs="GHEA Grapalat"/>
          <w:i/>
          <w:iCs/>
          <w:sz w:val="16"/>
          <w:szCs w:val="16"/>
        </w:rPr>
      </w:pPr>
      <w:r w:rsidRPr="00BC2C75">
        <w:rPr>
          <w:rFonts w:ascii="GHEA Grapalat" w:hAnsi="GHEA Grapalat"/>
          <w:i/>
          <w:iCs/>
          <w:sz w:val="16"/>
          <w:szCs w:val="16"/>
        </w:rPr>
        <w:t>Աղբյուրը՝ ՀՀ ԿԲ</w:t>
      </w:r>
    </w:p>
    <w:p w14:paraId="0B8B4743" w14:textId="77777777" w:rsidR="000645E3" w:rsidRDefault="000645E3" w:rsidP="00716F1C">
      <w:pPr>
        <w:spacing w:line="276" w:lineRule="auto"/>
        <w:ind w:firstLine="567"/>
        <w:jc w:val="both"/>
        <w:rPr>
          <w:rFonts w:ascii="GHEA Grapalat" w:eastAsia="GHEA Grapalat" w:hAnsi="GHEA Grapalat" w:cs="GHEA Grapalat"/>
          <w:bCs/>
          <w:sz w:val="22"/>
          <w:szCs w:val="22"/>
        </w:rPr>
      </w:pPr>
    </w:p>
    <w:p w14:paraId="18F816DF" w14:textId="5EE0AB80" w:rsidR="00927AC7" w:rsidRPr="00665DCF" w:rsidRDefault="00927AC7" w:rsidP="001A3265">
      <w:pPr>
        <w:pStyle w:val="Heading4"/>
        <w:numPr>
          <w:ilvl w:val="3"/>
          <w:numId w:val="10"/>
        </w:numPr>
        <w:ind w:left="567" w:firstLine="0"/>
        <w:rPr>
          <w:i w:val="0"/>
        </w:rPr>
      </w:pPr>
      <w:r w:rsidRPr="00665DCF">
        <w:rPr>
          <w:i w:val="0"/>
        </w:rPr>
        <w:lastRenderedPageBreak/>
        <w:t>Արտաքին հատված</w:t>
      </w:r>
    </w:p>
    <w:p w14:paraId="00921DFD" w14:textId="28AC9737" w:rsidR="00927AC7" w:rsidRPr="00345A1C" w:rsidRDefault="00927AC7" w:rsidP="00A32D2B">
      <w:pPr>
        <w:spacing w:line="276" w:lineRule="auto"/>
        <w:ind w:firstLine="567"/>
        <w:jc w:val="both"/>
        <w:rPr>
          <w:rFonts w:ascii="GHEA Grapalat" w:hAnsi="GHEA Grapalat"/>
          <w:sz w:val="22"/>
          <w:szCs w:val="22"/>
        </w:rPr>
      </w:pPr>
      <w:r w:rsidRPr="002D74A5">
        <w:rPr>
          <w:rFonts w:ascii="GHEA Grapalat" w:hAnsi="GHEA Grapalat"/>
          <w:b/>
          <w:i/>
          <w:sz w:val="22"/>
          <w:szCs w:val="22"/>
        </w:rPr>
        <w:t xml:space="preserve">Ընթացիկ հաշիվ: </w:t>
      </w:r>
      <w:r w:rsidR="00904F9A">
        <w:rPr>
          <w:rFonts w:ascii="GHEA Grapalat" w:hAnsi="GHEA Grapalat"/>
          <w:sz w:val="22"/>
          <w:szCs w:val="22"/>
        </w:rPr>
        <w:t>202</w:t>
      </w:r>
      <w:r w:rsidR="00904F9A" w:rsidRPr="00904F9A">
        <w:rPr>
          <w:rFonts w:ascii="GHEA Grapalat" w:hAnsi="GHEA Grapalat"/>
          <w:sz w:val="22"/>
          <w:szCs w:val="22"/>
          <w:lang w:val="de-AT"/>
        </w:rPr>
        <w:t>5</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ընթացիկ հաշվի պակասուրդը նախորդ տարվա համեմատ վատթարացել է՝ կազմելով ՀՆԱ-ի </w:t>
      </w:r>
      <w:r w:rsidR="00162E2B">
        <w:rPr>
          <w:rFonts w:ascii="GHEA Grapalat" w:hAnsi="GHEA Grapalat"/>
          <w:sz w:val="22"/>
          <w:szCs w:val="22"/>
        </w:rPr>
        <w:t>7.2</w:t>
      </w:r>
      <w:r w:rsidRPr="000C67FA">
        <w:rPr>
          <w:rFonts w:ascii="GHEA Grapalat" w:hAnsi="GHEA Grapalat"/>
          <w:sz w:val="22"/>
          <w:szCs w:val="22"/>
        </w:rPr>
        <w:t>%-ը:</w:t>
      </w:r>
      <w:r w:rsidRPr="00345A1C">
        <w:rPr>
          <w:rFonts w:ascii="GHEA Grapalat" w:hAnsi="GHEA Grapalat"/>
          <w:sz w:val="22"/>
          <w:szCs w:val="22"/>
        </w:rPr>
        <w:t xml:space="preserve"> Ընթացիկ հաշվի վատթարացումը հիմնականում պայմանավորված է</w:t>
      </w:r>
      <w:r w:rsidR="007459F1" w:rsidRPr="00345A1C">
        <w:rPr>
          <w:rFonts w:ascii="GHEA Grapalat" w:hAnsi="GHEA Grapalat"/>
          <w:sz w:val="22"/>
          <w:szCs w:val="22"/>
        </w:rPr>
        <w:t xml:space="preserve"> եղել</w:t>
      </w:r>
      <w:r w:rsidRPr="00345A1C">
        <w:rPr>
          <w:rFonts w:ascii="GHEA Grapalat" w:hAnsi="GHEA Grapalat"/>
          <w:sz w:val="22"/>
          <w:szCs w:val="22"/>
        </w:rPr>
        <w:t xml:space="preserve"> </w:t>
      </w:r>
      <w:r w:rsidR="002573FA" w:rsidRPr="00345A1C">
        <w:rPr>
          <w:rFonts w:ascii="GHEA Grapalat" w:hAnsi="GHEA Grapalat"/>
          <w:sz w:val="22"/>
          <w:szCs w:val="22"/>
        </w:rPr>
        <w:t>ապրանքների</w:t>
      </w:r>
      <w:r w:rsidR="001E730A">
        <w:rPr>
          <w:rFonts w:ascii="GHEA Grapalat" w:hAnsi="GHEA Grapalat"/>
          <w:sz w:val="22"/>
          <w:szCs w:val="22"/>
        </w:rPr>
        <w:t xml:space="preserve"> </w:t>
      </w:r>
      <w:r w:rsidR="002573FA">
        <w:rPr>
          <w:rFonts w:ascii="GHEA Grapalat" w:hAnsi="GHEA Grapalat"/>
          <w:sz w:val="22"/>
          <w:szCs w:val="22"/>
        </w:rPr>
        <w:t xml:space="preserve">հաշվեկշռի </w:t>
      </w:r>
      <w:r w:rsidRPr="00345A1C">
        <w:rPr>
          <w:rFonts w:ascii="GHEA Grapalat" w:hAnsi="GHEA Grapalat"/>
          <w:sz w:val="22"/>
          <w:szCs w:val="22"/>
        </w:rPr>
        <w:t>վատթարացմամբ</w:t>
      </w:r>
      <w:r w:rsidR="001E730A">
        <w:rPr>
          <w:rFonts w:ascii="GHEA Grapalat" w:hAnsi="GHEA Grapalat"/>
          <w:sz w:val="22"/>
          <w:szCs w:val="22"/>
        </w:rPr>
        <w:t>, ինչպես նաև ծառայությունների հաշվեկշռի</w:t>
      </w:r>
      <w:r w:rsidR="00331ACA">
        <w:rPr>
          <w:rFonts w:ascii="GHEA Grapalat" w:hAnsi="GHEA Grapalat"/>
          <w:sz w:val="22"/>
          <w:szCs w:val="22"/>
        </w:rPr>
        <w:t xml:space="preserve"> և </w:t>
      </w:r>
      <w:r w:rsidR="003440A0">
        <w:rPr>
          <w:rFonts w:ascii="GHEA Grapalat" w:hAnsi="GHEA Grapalat"/>
          <w:sz w:val="22"/>
          <w:szCs w:val="22"/>
        </w:rPr>
        <w:t>զուտ դրամական փոխանցումների դերի</w:t>
      </w:r>
      <w:r w:rsidRPr="00345A1C">
        <w:rPr>
          <w:rFonts w:ascii="GHEA Grapalat" w:hAnsi="GHEA Grapalat"/>
          <w:sz w:val="22"/>
          <w:szCs w:val="22"/>
        </w:rPr>
        <w:t xml:space="preserve"> նվազմամբ: Դոլարային արտահայտությամբ ապրանքների և ծառայությունների բացասական հաշվեկշիռը կազմել է ՀՆԱ-ի </w:t>
      </w:r>
      <w:r w:rsidR="00975640">
        <w:rPr>
          <w:rFonts w:ascii="GHEA Grapalat" w:hAnsi="GHEA Grapalat"/>
          <w:sz w:val="22"/>
          <w:szCs w:val="22"/>
        </w:rPr>
        <w:t>5.4</w:t>
      </w:r>
      <w:r w:rsidRPr="00345A1C">
        <w:rPr>
          <w:rFonts w:ascii="GHEA Grapalat" w:hAnsi="GHEA Grapalat"/>
          <w:sz w:val="22"/>
          <w:szCs w:val="22"/>
        </w:rPr>
        <w:t xml:space="preserve">%-ը` նախորդ տարվա համեմատ վատթարանալով </w:t>
      </w:r>
      <w:r w:rsidR="00975640">
        <w:rPr>
          <w:rFonts w:ascii="GHEA Grapalat" w:hAnsi="GHEA Grapalat"/>
          <w:sz w:val="22"/>
          <w:szCs w:val="22"/>
        </w:rPr>
        <w:t>2.6</w:t>
      </w:r>
      <w:r w:rsidRPr="00345A1C">
        <w:rPr>
          <w:rFonts w:ascii="GHEA Grapalat" w:hAnsi="GHEA Grapalat"/>
          <w:sz w:val="22"/>
          <w:szCs w:val="22"/>
        </w:rPr>
        <w:t xml:space="preserve"> տոկոսային կետով, ինչը հիմնականում պայմանավորված է </w:t>
      </w:r>
      <w:r w:rsidR="00975640">
        <w:rPr>
          <w:rFonts w:ascii="GHEA Grapalat" w:hAnsi="GHEA Grapalat"/>
          <w:sz w:val="22"/>
          <w:szCs w:val="22"/>
        </w:rPr>
        <w:t xml:space="preserve">ապրանքների </w:t>
      </w:r>
      <w:r w:rsidRPr="00345A1C">
        <w:rPr>
          <w:rFonts w:ascii="GHEA Grapalat" w:hAnsi="GHEA Grapalat"/>
          <w:sz w:val="22"/>
          <w:szCs w:val="22"/>
        </w:rPr>
        <w:t>հաշվեկ</w:t>
      </w:r>
      <w:r w:rsidR="00975640">
        <w:rPr>
          <w:rFonts w:ascii="GHEA Grapalat" w:hAnsi="GHEA Grapalat"/>
          <w:sz w:val="22"/>
          <w:szCs w:val="22"/>
        </w:rPr>
        <w:t>շռի՝ ՀՆԱ-ում 2</w:t>
      </w:r>
      <w:r w:rsidR="00C57C4F" w:rsidRPr="00345A1C">
        <w:rPr>
          <w:rFonts w:ascii="GHEA Grapalat" w:hAnsi="GHEA Grapalat"/>
          <w:sz w:val="22"/>
          <w:szCs w:val="22"/>
        </w:rPr>
        <w:t xml:space="preserve"> տոկոսային կետ</w:t>
      </w:r>
      <w:r w:rsidRPr="00345A1C">
        <w:rPr>
          <w:rFonts w:ascii="GHEA Grapalat" w:hAnsi="GHEA Grapalat"/>
          <w:sz w:val="22"/>
          <w:szCs w:val="22"/>
        </w:rPr>
        <w:t xml:space="preserve"> վատթարացմամբ: Տնտեսություն ներհոսող դ</w:t>
      </w:r>
      <w:r w:rsidR="00E0512F">
        <w:rPr>
          <w:rFonts w:ascii="GHEA Grapalat" w:hAnsi="GHEA Grapalat"/>
          <w:sz w:val="22"/>
          <w:szCs w:val="22"/>
        </w:rPr>
        <w:t>րամական զուտ փոխանցումները 202</w:t>
      </w:r>
      <w:r w:rsidR="00B61756">
        <w:rPr>
          <w:rFonts w:ascii="GHEA Grapalat" w:hAnsi="GHEA Grapalat"/>
          <w:sz w:val="22"/>
          <w:szCs w:val="22"/>
        </w:rPr>
        <w:t>5</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w:t>
      </w:r>
      <w:r w:rsidR="00C25C09">
        <w:rPr>
          <w:rFonts w:ascii="GHEA Grapalat" w:hAnsi="GHEA Grapalat"/>
          <w:sz w:val="22"/>
          <w:szCs w:val="22"/>
        </w:rPr>
        <w:t>աճել</w:t>
      </w:r>
      <w:r w:rsidRPr="00345A1C">
        <w:rPr>
          <w:rFonts w:ascii="GHEA Grapalat" w:hAnsi="GHEA Grapalat"/>
          <w:sz w:val="22"/>
          <w:szCs w:val="22"/>
        </w:rPr>
        <w:t xml:space="preserve"> են շուրջ </w:t>
      </w:r>
      <w:r w:rsidR="00B61756">
        <w:rPr>
          <w:rFonts w:ascii="GHEA Grapalat" w:hAnsi="GHEA Grapalat"/>
          <w:sz w:val="22"/>
          <w:szCs w:val="22"/>
        </w:rPr>
        <w:t>4.3</w:t>
      </w:r>
      <w:r w:rsidRPr="00345A1C">
        <w:rPr>
          <w:rFonts w:ascii="GHEA Grapalat" w:hAnsi="GHEA Grapalat"/>
          <w:sz w:val="22"/>
          <w:szCs w:val="22"/>
        </w:rPr>
        <w:t xml:space="preserve">%-ով` </w:t>
      </w:r>
      <w:r w:rsidR="00B61756">
        <w:rPr>
          <w:rFonts w:ascii="GHEA Grapalat" w:hAnsi="GHEA Grapalat"/>
          <w:sz w:val="22"/>
          <w:szCs w:val="22"/>
        </w:rPr>
        <w:t xml:space="preserve">պայմանավորված </w:t>
      </w:r>
      <w:r w:rsidR="006542D2">
        <w:rPr>
          <w:rFonts w:ascii="GHEA Grapalat" w:hAnsi="GHEA Grapalat"/>
          <w:sz w:val="22"/>
          <w:szCs w:val="22"/>
        </w:rPr>
        <w:t>հատկապես</w:t>
      </w:r>
      <w:r w:rsidR="000C67FA">
        <w:rPr>
          <w:rFonts w:ascii="GHEA Grapalat" w:hAnsi="GHEA Grapalat"/>
          <w:sz w:val="22"/>
          <w:szCs w:val="22"/>
        </w:rPr>
        <w:t xml:space="preserve"> ՌԴ</w:t>
      </w:r>
      <w:r w:rsidR="000C67FA">
        <w:rPr>
          <w:rFonts w:ascii="GHEA Grapalat" w:hAnsi="GHEA Grapalat"/>
          <w:sz w:val="22"/>
          <w:szCs w:val="22"/>
        </w:rPr>
        <w:noBreakHyphen/>
      </w:r>
      <w:r w:rsidR="00B61756">
        <w:rPr>
          <w:rFonts w:ascii="GHEA Grapalat" w:hAnsi="GHEA Grapalat"/>
          <w:sz w:val="22"/>
          <w:szCs w:val="22"/>
        </w:rPr>
        <w:t>ից ներհոսքի աճով:</w:t>
      </w:r>
      <w:r w:rsidRPr="00345A1C">
        <w:rPr>
          <w:rFonts w:ascii="GHEA Grapalat" w:hAnsi="GHEA Grapalat"/>
          <w:sz w:val="22"/>
          <w:szCs w:val="22"/>
        </w:rPr>
        <w:t xml:space="preserve"> Նշված</w:t>
      </w:r>
      <w:r w:rsidR="00E0512F">
        <w:rPr>
          <w:rFonts w:ascii="GHEA Grapalat" w:hAnsi="GHEA Grapalat"/>
          <w:sz w:val="22"/>
          <w:szCs w:val="22"/>
        </w:rPr>
        <w:t xml:space="preserve"> զարգացումների արդյունքում 202</w:t>
      </w:r>
      <w:r w:rsidR="00B61756">
        <w:rPr>
          <w:rFonts w:ascii="GHEA Grapalat" w:hAnsi="GHEA Grapalat"/>
          <w:sz w:val="22"/>
          <w:szCs w:val="22"/>
        </w:rPr>
        <w:t>5</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նախորդ տարվա համեմատ ՀՆԱ</w:t>
      </w:r>
      <w:r w:rsidRPr="00345A1C">
        <w:rPr>
          <w:rFonts w:ascii="GHEA Grapalat" w:hAnsi="GHEA Grapalat"/>
          <w:sz w:val="22"/>
          <w:szCs w:val="22"/>
        </w:rPr>
        <w:noBreakHyphen/>
        <w:t xml:space="preserve">ում ընթացիկ հաշվի պակասուրդը վատթարացել է </w:t>
      </w:r>
      <w:r w:rsidR="00B61756">
        <w:rPr>
          <w:rFonts w:ascii="GHEA Grapalat" w:hAnsi="GHEA Grapalat"/>
          <w:sz w:val="22"/>
          <w:szCs w:val="22"/>
        </w:rPr>
        <w:t>2.6</w:t>
      </w:r>
      <w:r w:rsidRPr="00345A1C">
        <w:rPr>
          <w:rFonts w:ascii="GHEA Grapalat" w:hAnsi="GHEA Grapalat"/>
          <w:sz w:val="22"/>
          <w:szCs w:val="22"/>
        </w:rPr>
        <w:t xml:space="preserve"> տոկոսային կետով: </w:t>
      </w:r>
    </w:p>
    <w:p w14:paraId="00953680" w14:textId="0AF83865" w:rsidR="00927AC7" w:rsidRDefault="00927AC7" w:rsidP="00216B0C">
      <w:pPr>
        <w:spacing w:line="276" w:lineRule="auto"/>
        <w:ind w:firstLine="567"/>
        <w:jc w:val="both"/>
        <w:rPr>
          <w:rFonts w:ascii="GHEA Grapalat" w:hAnsi="GHEA Grapalat"/>
          <w:sz w:val="22"/>
          <w:szCs w:val="22"/>
        </w:rPr>
      </w:pPr>
      <w:r w:rsidRPr="00345A1C">
        <w:rPr>
          <w:rFonts w:ascii="GHEA Grapalat" w:hAnsi="GHEA Grapalat"/>
          <w:b/>
          <w:i/>
          <w:sz w:val="22"/>
          <w:szCs w:val="22"/>
        </w:rPr>
        <w:t>Արտաքին առևտուր (դոլարային արտահայտությամբ)</w:t>
      </w:r>
      <w:r w:rsidRPr="00345A1C">
        <w:rPr>
          <w:rFonts w:ascii="GHEA Grapalat" w:hAnsi="GHEA Grapalat"/>
          <w:b/>
          <w:i/>
          <w:sz w:val="22"/>
          <w:szCs w:val="22"/>
          <w:vertAlign w:val="superscript"/>
        </w:rPr>
        <w:footnoteReference w:id="12"/>
      </w:r>
      <w:r w:rsidRPr="00345A1C">
        <w:rPr>
          <w:rFonts w:ascii="GHEA Grapalat" w:hAnsi="GHEA Grapalat"/>
          <w:b/>
          <w:i/>
          <w:sz w:val="22"/>
          <w:szCs w:val="22"/>
        </w:rPr>
        <w:t>:</w:t>
      </w:r>
      <w:r w:rsidRPr="00345A1C">
        <w:rPr>
          <w:rFonts w:ascii="GHEA Grapalat" w:hAnsi="GHEA Grapalat"/>
          <w:sz w:val="22"/>
          <w:szCs w:val="22"/>
        </w:rPr>
        <w:t xml:space="preserve"> </w:t>
      </w:r>
      <w:r w:rsidR="00CA6DDB" w:rsidRPr="000C67FA">
        <w:rPr>
          <w:rFonts w:ascii="GHEA Grapalat" w:hAnsi="GHEA Grapalat"/>
          <w:sz w:val="22"/>
          <w:szCs w:val="22"/>
        </w:rPr>
        <w:t>202</w:t>
      </w:r>
      <w:r w:rsidR="00904F9A" w:rsidRPr="00904F9A">
        <w:rPr>
          <w:rFonts w:ascii="GHEA Grapalat" w:hAnsi="GHEA Grapalat"/>
          <w:sz w:val="22"/>
          <w:szCs w:val="22"/>
        </w:rPr>
        <w:t>5</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w:t>
      </w:r>
      <w:r w:rsidR="00904F9A" w:rsidRPr="00904F9A">
        <w:rPr>
          <w:rFonts w:ascii="GHEA Grapalat" w:hAnsi="GHEA Grapalat"/>
          <w:sz w:val="22"/>
          <w:szCs w:val="22"/>
        </w:rPr>
        <w:t>գրանցվել է արտաքին ապրանքաշրջանառության անկում՝ հիմնականում պայմանավորված վերաարտահանման ծավալների նվազմամբ։</w:t>
      </w:r>
      <w:r w:rsidRPr="00345A1C">
        <w:rPr>
          <w:rFonts w:ascii="GHEA Grapalat" w:hAnsi="GHEA Grapalat"/>
          <w:sz w:val="22"/>
          <w:szCs w:val="22"/>
        </w:rPr>
        <w:t xml:space="preserve"> Արտա</w:t>
      </w:r>
      <w:r w:rsidR="00904F9A">
        <w:rPr>
          <w:rFonts w:ascii="GHEA Grapalat" w:hAnsi="GHEA Grapalat"/>
          <w:sz w:val="22"/>
          <w:szCs w:val="22"/>
        </w:rPr>
        <w:t>քին ապրանքաշրջանառությունը 2025</w:t>
      </w:r>
      <w:r w:rsidRPr="00345A1C">
        <w:rPr>
          <w:rFonts w:ascii="GHEA Grapalat" w:hAnsi="GHEA Grapalat"/>
          <w:sz w:val="22"/>
          <w:szCs w:val="22"/>
        </w:rPr>
        <w:t>թ</w:t>
      </w:r>
      <w:r w:rsidR="00CA6DDB">
        <w:rPr>
          <w:rFonts w:ascii="GHEA Grapalat" w:hAnsi="GHEA Grapalat"/>
          <w:sz w:val="22"/>
          <w:szCs w:val="22"/>
        </w:rPr>
        <w:t>.</w:t>
      </w:r>
      <w:r w:rsidR="000C597C">
        <w:rPr>
          <w:rFonts w:ascii="GHEA Grapalat" w:hAnsi="GHEA Grapalat"/>
          <w:sz w:val="22"/>
          <w:szCs w:val="22"/>
        </w:rPr>
        <w:t xml:space="preserve"> կազմել է 21,430</w:t>
      </w:r>
      <w:r w:rsidR="000C67FA" w:rsidRPr="00D874F0">
        <w:rPr>
          <w:rFonts w:ascii="GHEA Grapalat" w:hAnsi="GHEA Grapalat"/>
          <w:sz w:val="22"/>
          <w:szCs w:val="22"/>
        </w:rPr>
        <w:t xml:space="preserve"> </w:t>
      </w:r>
      <w:r w:rsidRPr="00345A1C">
        <w:rPr>
          <w:rFonts w:ascii="GHEA Grapalat" w:hAnsi="GHEA Grapalat"/>
          <w:sz w:val="22"/>
          <w:szCs w:val="22"/>
        </w:rPr>
        <w:t xml:space="preserve">մլն ԱՄՆ դոլար` նախորդ տարվա նկատմամբ </w:t>
      </w:r>
      <w:r w:rsidR="000C597C">
        <w:rPr>
          <w:rFonts w:ascii="GHEA Grapalat" w:hAnsi="GHEA Grapalat"/>
          <w:sz w:val="22"/>
          <w:szCs w:val="22"/>
        </w:rPr>
        <w:t>նվազ</w:t>
      </w:r>
      <w:r w:rsidRPr="00345A1C">
        <w:rPr>
          <w:rFonts w:ascii="GHEA Grapalat" w:hAnsi="GHEA Grapalat"/>
          <w:sz w:val="22"/>
          <w:szCs w:val="22"/>
        </w:rPr>
        <w:t xml:space="preserve">ելով </w:t>
      </w:r>
      <w:r w:rsidR="000C597C">
        <w:rPr>
          <w:rFonts w:ascii="GHEA Grapalat" w:hAnsi="GHEA Grapalat"/>
          <w:sz w:val="22"/>
          <w:szCs w:val="22"/>
        </w:rPr>
        <w:t>29</w:t>
      </w:r>
      <w:r w:rsidRPr="00345A1C">
        <w:rPr>
          <w:rFonts w:ascii="GHEA Grapalat" w:hAnsi="GHEA Grapalat"/>
          <w:sz w:val="22"/>
          <w:szCs w:val="22"/>
        </w:rPr>
        <w:t>%</w:t>
      </w:r>
      <w:r w:rsidR="000C67FA" w:rsidRPr="00D874F0">
        <w:rPr>
          <w:rFonts w:ascii="GHEA Grapalat" w:hAnsi="GHEA Grapalat"/>
          <w:sz w:val="22"/>
          <w:szCs w:val="22"/>
        </w:rPr>
        <w:t>-ով</w:t>
      </w:r>
      <w:r w:rsidRPr="00345A1C">
        <w:rPr>
          <w:rFonts w:ascii="GHEA Grapalat" w:hAnsi="GHEA Grapalat"/>
          <w:sz w:val="22"/>
          <w:szCs w:val="22"/>
        </w:rPr>
        <w:t xml:space="preserve">։ Հաշվետու </w:t>
      </w:r>
      <w:r w:rsidR="00D43E19" w:rsidRPr="000C67FA">
        <w:rPr>
          <w:rFonts w:ascii="GHEA Grapalat" w:hAnsi="GHEA Grapalat"/>
          <w:sz w:val="22"/>
          <w:szCs w:val="22"/>
        </w:rPr>
        <w:t>տար</w:t>
      </w:r>
      <w:r w:rsidRPr="00345A1C">
        <w:rPr>
          <w:rFonts w:ascii="GHEA Grapalat" w:hAnsi="GHEA Grapalat"/>
          <w:sz w:val="22"/>
          <w:szCs w:val="22"/>
        </w:rPr>
        <w:t xml:space="preserve">ում արձանագրվել են դոլարային արտահայտությամբ արտահանման և ներմուծման </w:t>
      </w:r>
      <w:r w:rsidR="000C597C">
        <w:rPr>
          <w:rFonts w:ascii="GHEA Grapalat" w:hAnsi="GHEA Grapalat"/>
          <w:sz w:val="22"/>
          <w:szCs w:val="22"/>
        </w:rPr>
        <w:t>անկումներ</w:t>
      </w:r>
      <w:r w:rsidRPr="00345A1C">
        <w:rPr>
          <w:rFonts w:ascii="GHEA Grapalat" w:hAnsi="GHEA Grapalat"/>
          <w:sz w:val="22"/>
          <w:szCs w:val="22"/>
        </w:rPr>
        <w:t>. արտահանում</w:t>
      </w:r>
      <w:r w:rsidR="006542D2" w:rsidRPr="00B06C86">
        <w:rPr>
          <w:rFonts w:ascii="GHEA Grapalat" w:hAnsi="GHEA Grapalat"/>
          <w:sz w:val="22"/>
          <w:szCs w:val="22"/>
        </w:rPr>
        <w:t>ը</w:t>
      </w:r>
      <w:r w:rsidRPr="00345A1C">
        <w:rPr>
          <w:rFonts w:ascii="GHEA Grapalat" w:hAnsi="GHEA Grapalat"/>
          <w:sz w:val="22"/>
          <w:szCs w:val="22"/>
        </w:rPr>
        <w:t xml:space="preserve"> </w:t>
      </w:r>
      <w:r w:rsidR="000C597C">
        <w:rPr>
          <w:rFonts w:ascii="GHEA Grapalat" w:hAnsi="GHEA Grapalat"/>
          <w:sz w:val="22"/>
          <w:szCs w:val="22"/>
        </w:rPr>
        <w:t>նվազ</w:t>
      </w:r>
      <w:r w:rsidRPr="00345A1C">
        <w:rPr>
          <w:rFonts w:ascii="GHEA Grapalat" w:hAnsi="GHEA Grapalat"/>
          <w:sz w:val="22"/>
          <w:szCs w:val="22"/>
        </w:rPr>
        <w:t xml:space="preserve">ել է </w:t>
      </w:r>
      <w:r w:rsidR="000C597C">
        <w:rPr>
          <w:rFonts w:ascii="GHEA Grapalat" w:hAnsi="GHEA Grapalat"/>
          <w:sz w:val="22"/>
          <w:szCs w:val="22"/>
        </w:rPr>
        <w:t>36</w:t>
      </w:r>
      <w:r w:rsidRPr="00345A1C">
        <w:rPr>
          <w:rFonts w:ascii="GHEA Grapalat" w:hAnsi="GHEA Grapalat"/>
          <w:sz w:val="22"/>
          <w:szCs w:val="22"/>
        </w:rPr>
        <w:t>.1%</w:t>
      </w:r>
      <w:r w:rsidR="00313C39" w:rsidRPr="00D874F0">
        <w:rPr>
          <w:rFonts w:ascii="GHEA Grapalat" w:hAnsi="GHEA Grapalat"/>
          <w:sz w:val="22"/>
          <w:szCs w:val="22"/>
        </w:rPr>
        <w:t>-ով</w:t>
      </w:r>
      <w:r w:rsidR="000C597C">
        <w:rPr>
          <w:rFonts w:ascii="GHEA Grapalat" w:hAnsi="GHEA Grapalat"/>
          <w:sz w:val="22"/>
          <w:szCs w:val="22"/>
        </w:rPr>
        <w:t>` կազմելով 8,</w:t>
      </w:r>
      <w:r w:rsidR="005636F3">
        <w:rPr>
          <w:rFonts w:ascii="GHEA Grapalat" w:hAnsi="GHEA Grapalat"/>
          <w:sz w:val="22"/>
          <w:szCs w:val="22"/>
        </w:rPr>
        <w:t>395</w:t>
      </w:r>
      <w:r w:rsidRPr="00345A1C">
        <w:rPr>
          <w:rFonts w:ascii="GHEA Grapalat" w:hAnsi="GHEA Grapalat"/>
          <w:sz w:val="22"/>
          <w:szCs w:val="22"/>
        </w:rPr>
        <w:t xml:space="preserve"> մլն </w:t>
      </w:r>
      <w:r w:rsidR="00330F19">
        <w:rPr>
          <w:rFonts w:ascii="GHEA Grapalat" w:hAnsi="GHEA Grapalat"/>
          <w:sz w:val="22"/>
          <w:szCs w:val="22"/>
        </w:rPr>
        <w:t>ԱՄՆ դոլար, իսկ ներմուծումը` 2</w:t>
      </w:r>
      <w:r w:rsidR="005636F3">
        <w:rPr>
          <w:rFonts w:ascii="GHEA Grapalat" w:hAnsi="GHEA Grapalat"/>
          <w:sz w:val="22"/>
          <w:szCs w:val="22"/>
        </w:rPr>
        <w:t>3.6</w:t>
      </w:r>
      <w:r w:rsidRPr="00345A1C">
        <w:rPr>
          <w:rFonts w:ascii="GHEA Grapalat" w:hAnsi="GHEA Grapalat"/>
          <w:sz w:val="22"/>
          <w:szCs w:val="22"/>
        </w:rPr>
        <w:t>%-ով՝ կազմել</w:t>
      </w:r>
      <w:r w:rsidR="00CA6DDB">
        <w:rPr>
          <w:rFonts w:ascii="GHEA Grapalat" w:hAnsi="GHEA Grapalat"/>
          <w:sz w:val="22"/>
          <w:szCs w:val="22"/>
        </w:rPr>
        <w:t xml:space="preserve">ով </w:t>
      </w:r>
      <w:r w:rsidR="005636F3">
        <w:rPr>
          <w:rFonts w:ascii="GHEA Grapalat" w:hAnsi="GHEA Grapalat"/>
          <w:sz w:val="22"/>
          <w:szCs w:val="22"/>
        </w:rPr>
        <w:t>13</w:t>
      </w:r>
      <w:r w:rsidR="00CA6DDB">
        <w:rPr>
          <w:rFonts w:ascii="GHEA Grapalat" w:hAnsi="GHEA Grapalat"/>
          <w:sz w:val="22"/>
          <w:szCs w:val="22"/>
        </w:rPr>
        <w:t>,</w:t>
      </w:r>
      <w:r w:rsidR="005636F3">
        <w:rPr>
          <w:rFonts w:ascii="GHEA Grapalat" w:hAnsi="GHEA Grapalat"/>
          <w:sz w:val="22"/>
          <w:szCs w:val="22"/>
        </w:rPr>
        <w:t>035</w:t>
      </w:r>
      <w:r w:rsidR="00CA6DDB">
        <w:rPr>
          <w:rFonts w:ascii="GHEA Grapalat" w:hAnsi="GHEA Grapalat"/>
          <w:sz w:val="22"/>
          <w:szCs w:val="22"/>
        </w:rPr>
        <w:t xml:space="preserve"> մլն ԱՄՆ դոլար: 202</w:t>
      </w:r>
      <w:r w:rsidR="00077273">
        <w:rPr>
          <w:rFonts w:ascii="GHEA Grapalat" w:hAnsi="GHEA Grapalat"/>
          <w:sz w:val="22"/>
          <w:szCs w:val="22"/>
        </w:rPr>
        <w:t>5</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rPr>
        <w:t xml:space="preserve"> ապրանքների գծով արտաքին առևտրի բացասական մնացորդը նախորդ տարվա նկատմ</w:t>
      </w:r>
      <w:r w:rsidR="00077273">
        <w:rPr>
          <w:rFonts w:ascii="GHEA Grapalat" w:hAnsi="GHEA Grapalat"/>
          <w:sz w:val="22"/>
          <w:szCs w:val="22"/>
        </w:rPr>
        <w:t>ամբ վատթարաց</w:t>
      </w:r>
      <w:r w:rsidR="00673479">
        <w:rPr>
          <w:rFonts w:ascii="GHEA Grapalat" w:hAnsi="GHEA Grapalat"/>
          <w:sz w:val="22"/>
          <w:szCs w:val="22"/>
        </w:rPr>
        <w:t>ել է 1</w:t>
      </w:r>
      <w:r w:rsidR="0030404D">
        <w:rPr>
          <w:rFonts w:ascii="GHEA Grapalat" w:hAnsi="GHEA Grapalat"/>
          <w:sz w:val="22"/>
          <w:szCs w:val="22"/>
        </w:rPr>
        <w:t>8.1</w:t>
      </w:r>
      <w:r w:rsidR="00673479" w:rsidRPr="00AE0B27">
        <w:rPr>
          <w:rFonts w:ascii="GHEA Grapalat" w:hAnsi="GHEA Grapalat"/>
          <w:sz w:val="22"/>
          <w:szCs w:val="22"/>
        </w:rPr>
        <w:t>%-ով</w:t>
      </w:r>
      <w:r w:rsidR="00673479">
        <w:rPr>
          <w:rFonts w:ascii="GHEA Grapalat" w:hAnsi="GHEA Grapalat"/>
          <w:sz w:val="22"/>
          <w:szCs w:val="22"/>
        </w:rPr>
        <w:t xml:space="preserve"> </w:t>
      </w:r>
      <w:r w:rsidR="00673479" w:rsidRPr="00395430">
        <w:rPr>
          <w:rFonts w:ascii="GHEA Grapalat" w:hAnsi="GHEA Grapalat"/>
          <w:sz w:val="22"/>
          <w:szCs w:val="22"/>
        </w:rPr>
        <w:t xml:space="preserve">և կազմել </w:t>
      </w:r>
      <w:r w:rsidR="00673479">
        <w:rPr>
          <w:rFonts w:ascii="GHEA Grapalat" w:hAnsi="GHEA Grapalat"/>
          <w:sz w:val="22"/>
          <w:szCs w:val="22"/>
        </w:rPr>
        <w:t>4,640</w:t>
      </w:r>
      <w:r w:rsidR="00673479" w:rsidRPr="00395430">
        <w:rPr>
          <w:rFonts w:ascii="GHEA Grapalat" w:hAnsi="GHEA Grapalat"/>
          <w:sz w:val="22"/>
          <w:szCs w:val="22"/>
        </w:rPr>
        <w:t xml:space="preserve"> մլն ԱՄՆ</w:t>
      </w:r>
      <w:r w:rsidRPr="00345A1C">
        <w:rPr>
          <w:rFonts w:ascii="GHEA Grapalat" w:hAnsi="GHEA Grapalat"/>
          <w:sz w:val="22"/>
          <w:szCs w:val="22"/>
        </w:rPr>
        <w:t xml:space="preserve"> դոլար:</w:t>
      </w:r>
    </w:p>
    <w:p w14:paraId="6F983FEC" w14:textId="5773DF6A" w:rsidR="00D1247D" w:rsidRDefault="00D1247D" w:rsidP="00216B0C">
      <w:pPr>
        <w:spacing w:line="276" w:lineRule="auto"/>
        <w:ind w:firstLine="567"/>
        <w:jc w:val="both"/>
        <w:rPr>
          <w:rFonts w:ascii="GHEA Grapalat" w:hAnsi="GHEA Grapalat"/>
          <w:sz w:val="22"/>
          <w:szCs w:val="22"/>
        </w:rPr>
      </w:pPr>
    </w:p>
    <w:tbl>
      <w:tblPr>
        <w:tblW w:w="10524" w:type="dxa"/>
        <w:tblLook w:val="04A0" w:firstRow="1" w:lastRow="0" w:firstColumn="1" w:lastColumn="0" w:noHBand="0" w:noVBand="1"/>
      </w:tblPr>
      <w:tblGrid>
        <w:gridCol w:w="5226"/>
        <w:gridCol w:w="5298"/>
      </w:tblGrid>
      <w:tr w:rsidR="005F27B0" w:rsidRPr="00345A1C" w14:paraId="22D05ED6" w14:textId="77777777" w:rsidTr="0026046A">
        <w:trPr>
          <w:trHeight w:val="6328"/>
        </w:trPr>
        <w:tc>
          <w:tcPr>
            <w:tcW w:w="5152" w:type="dxa"/>
          </w:tcPr>
          <w:p w14:paraId="45424208" w14:textId="6DFB20B1" w:rsidR="005F27B0" w:rsidRDefault="005F27B0" w:rsidP="00AD550E">
            <w:pPr>
              <w:pStyle w:val="ab"/>
            </w:pPr>
            <w:r w:rsidRPr="00CA6DDB">
              <w:lastRenderedPageBreak/>
              <w:t>Գծապատկեր 1</w:t>
            </w:r>
            <w:r>
              <w:t>8</w:t>
            </w:r>
            <w:r w:rsidR="003D09E8" w:rsidRPr="00B06C86">
              <w:t>.</w:t>
            </w:r>
            <w:r w:rsidRPr="00CA6DDB">
              <w:t xml:space="preserve"> Ընթացիկ հաշվի և դրա բաղադրատարրերի դինամիկան, % ՀՆԱ-ում</w:t>
            </w:r>
          </w:p>
          <w:p w14:paraId="2665004E" w14:textId="77777777" w:rsidR="003D09E8" w:rsidRPr="00345A1C" w:rsidRDefault="003D09E8" w:rsidP="00AD550E">
            <w:pPr>
              <w:pStyle w:val="ab"/>
            </w:pPr>
          </w:p>
          <w:p w14:paraId="0D55EFE0" w14:textId="138142B1" w:rsidR="005F27B0" w:rsidRDefault="005F27B0" w:rsidP="00AD550E">
            <w:pPr>
              <w:pStyle w:val="ab"/>
            </w:pPr>
            <w:r w:rsidRPr="00575C6C">
              <w:rPr>
                <w:noProof/>
                <w:lang w:val="en-US"/>
              </w:rPr>
              <w:drawing>
                <wp:inline distT="0" distB="0" distL="0" distR="0" wp14:anchorId="2ED3085E" wp14:editId="1460B3F9">
                  <wp:extent cx="3152775" cy="2476500"/>
                  <wp:effectExtent l="0" t="0" r="9525" b="0"/>
                  <wp:docPr id="2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313C39">
              <w:t>Աղբյուրը՝ ՀՀ ՎԿ, ՀՀ ՖՆ հաշվարկներ</w:t>
            </w:r>
          </w:p>
          <w:p w14:paraId="60E82FBB" w14:textId="77777777" w:rsidR="003D09E8" w:rsidRPr="00840EF7" w:rsidRDefault="003D09E8" w:rsidP="00AD550E">
            <w:pPr>
              <w:pStyle w:val="ab"/>
            </w:pPr>
          </w:p>
          <w:p w14:paraId="34E0160E" w14:textId="77777777" w:rsidR="005F27B0" w:rsidRPr="00345A1C" w:rsidRDefault="005F27B0" w:rsidP="00AD550E">
            <w:pPr>
              <w:pStyle w:val="ab"/>
            </w:pPr>
            <w:r w:rsidRPr="00345A1C">
              <w:t>Գծապատկեր 2</w:t>
            </w:r>
            <w:r>
              <w:t>0</w:t>
            </w:r>
            <w:r w:rsidRPr="00345A1C">
              <w:t>. Ծառայությունների արտահանում, ներմուծում և հաշվեկշիռ դինամիկան, մլն ԱՄՆ դոլար</w:t>
            </w:r>
          </w:p>
          <w:p w14:paraId="13BADAF9" w14:textId="77777777" w:rsidR="005F27B0" w:rsidRPr="00345A1C" w:rsidRDefault="005F27B0" w:rsidP="0026046A">
            <w:pPr>
              <w:keepNext/>
              <w:spacing w:line="276" w:lineRule="auto"/>
              <w:rPr>
                <w:rFonts w:ascii="GHEA Grapalat" w:eastAsia="GHEA Grapalat" w:hAnsi="GHEA Grapalat" w:cs="GHEA Grapalat"/>
                <w:b/>
                <w:i/>
                <w:sz w:val="20"/>
                <w:szCs w:val="20"/>
              </w:rPr>
            </w:pPr>
            <w:r w:rsidRPr="00345A1C">
              <w:rPr>
                <w:rFonts w:ascii="GHEA Grapalat" w:hAnsi="GHEA Grapalat"/>
                <w:sz w:val="22"/>
                <w:szCs w:val="22"/>
                <w:lang w:val="en-US"/>
              </w:rPr>
              <w:drawing>
                <wp:inline distT="0" distB="0" distL="0" distR="0" wp14:anchorId="78DE7B4F" wp14:editId="1D32C61B">
                  <wp:extent cx="3181350" cy="2162175"/>
                  <wp:effectExtent l="0" t="0" r="0" b="9525"/>
                  <wp:docPr id="24"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26F4BAB" w14:textId="77777777" w:rsidR="005F27B0" w:rsidRPr="00345A1C" w:rsidRDefault="005F27B0" w:rsidP="0026046A">
            <w:pPr>
              <w:keepNext/>
              <w:spacing w:line="276" w:lineRule="auto"/>
              <w:rPr>
                <w:rFonts w:ascii="GHEA Grapalat" w:eastAsia="GHEA Grapalat" w:hAnsi="GHEA Grapalat" w:cs="GHEA Grapalat"/>
                <w:b/>
                <w:i/>
                <w:sz w:val="16"/>
                <w:szCs w:val="16"/>
              </w:rPr>
            </w:pPr>
            <w:r w:rsidRPr="00345A1C">
              <w:rPr>
                <w:rFonts w:ascii="GHEA Grapalat" w:eastAsia="GHEA Grapalat" w:hAnsi="GHEA Grapalat" w:cs="GHEA Grapalat"/>
                <w:i/>
                <w:noProof w:val="0"/>
                <w:sz w:val="16"/>
                <w:szCs w:val="16"/>
              </w:rPr>
              <w:t>Աղբյուրը՝ ՀՀ ՎԿ, ՀՀ ՖՆ հաշվարկներ</w:t>
            </w:r>
          </w:p>
        </w:tc>
        <w:tc>
          <w:tcPr>
            <w:tcW w:w="5372" w:type="dxa"/>
          </w:tcPr>
          <w:p w14:paraId="02B67DFF" w14:textId="52CBDAB5" w:rsidR="005F27B0" w:rsidRDefault="005F27B0" w:rsidP="00AD550E">
            <w:pPr>
              <w:pStyle w:val="ab"/>
              <w:rPr>
                <w:i/>
                <w:sz w:val="16"/>
                <w:szCs w:val="16"/>
              </w:rPr>
            </w:pPr>
            <w:r w:rsidRPr="00345A1C">
              <w:t xml:space="preserve">Գծապատկեր </w:t>
            </w:r>
            <w:r>
              <w:t>19</w:t>
            </w:r>
            <w:r w:rsidRPr="00345A1C">
              <w:t>. Ապրանքների արտահանման, ներմուծման և առևտրային հաշվի դինամիկան, մլն ԱՄՆ դոլար</w:t>
            </w:r>
            <w:r w:rsidRPr="00575C6C">
              <w:rPr>
                <w:noProof/>
                <w:lang w:val="en-US"/>
              </w:rPr>
              <w:drawing>
                <wp:inline distT="0" distB="0" distL="0" distR="0" wp14:anchorId="0C96E1C7" wp14:editId="1360361C">
                  <wp:extent cx="3181350" cy="2486025"/>
                  <wp:effectExtent l="0" t="0" r="0" b="9525"/>
                  <wp:docPr id="25" name="Char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345A1C">
              <w:rPr>
                <w:bCs/>
              </w:rPr>
              <w:t xml:space="preserve"> </w:t>
            </w:r>
            <w:r w:rsidRPr="00313C39">
              <w:rPr>
                <w:i/>
                <w:sz w:val="16"/>
                <w:szCs w:val="16"/>
              </w:rPr>
              <w:t>Աղբյուրը՝ ՀՀ ՎԿ, ՀՀ ՖՆ հաշվարկներ</w:t>
            </w:r>
          </w:p>
          <w:p w14:paraId="71922299" w14:textId="77777777" w:rsidR="003D09E8" w:rsidRPr="00313C39" w:rsidRDefault="003D09E8" w:rsidP="00AD550E">
            <w:pPr>
              <w:pStyle w:val="ab"/>
            </w:pPr>
          </w:p>
          <w:p w14:paraId="28EBF312" w14:textId="77777777" w:rsidR="005F27B0" w:rsidRPr="00345A1C" w:rsidRDefault="005F27B0" w:rsidP="00AD550E">
            <w:pPr>
              <w:pStyle w:val="ab"/>
            </w:pPr>
            <w:r w:rsidRPr="00345A1C">
              <w:t>Գծապատկեր 2</w:t>
            </w:r>
            <w:r>
              <w:t>1</w:t>
            </w:r>
            <w:r w:rsidRPr="00345A1C">
              <w:t>. Զուտ դրամական փոխանցումների դինամիկան, մլն ԱՄՆ դոլար</w:t>
            </w:r>
          </w:p>
          <w:p w14:paraId="7ED8C31D" w14:textId="77777777" w:rsidR="005F27B0" w:rsidRPr="00345A1C" w:rsidRDefault="005F27B0" w:rsidP="00AD550E">
            <w:pPr>
              <w:pStyle w:val="ab"/>
            </w:pPr>
            <w:r w:rsidRPr="00575C6C">
              <w:rPr>
                <w:noProof/>
                <w:lang w:val="en-US"/>
              </w:rPr>
              <w:drawing>
                <wp:inline distT="0" distB="0" distL="0" distR="0" wp14:anchorId="6D088718" wp14:editId="7B338306">
                  <wp:extent cx="3181350" cy="2160397"/>
                  <wp:effectExtent l="0" t="0" r="0" b="11430"/>
                  <wp:docPr id="26"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CC23DF9" w14:textId="77777777" w:rsidR="005F27B0" w:rsidRPr="00345A1C" w:rsidRDefault="005F27B0" w:rsidP="0026046A">
            <w:pPr>
              <w:keepNext/>
              <w:rPr>
                <w:rFonts w:ascii="GHEA Grapalat" w:eastAsia="GHEA Grapalat" w:hAnsi="GHEA Grapalat" w:cs="GHEA Grapalat"/>
                <w:i/>
                <w:sz w:val="16"/>
                <w:szCs w:val="16"/>
              </w:rPr>
            </w:pPr>
            <w:r w:rsidRPr="00345A1C">
              <w:rPr>
                <w:rFonts w:ascii="GHEA Grapalat" w:eastAsia="GHEA Grapalat" w:hAnsi="GHEA Grapalat" w:cs="GHEA Grapalat"/>
                <w:i/>
                <w:noProof w:val="0"/>
                <w:sz w:val="16"/>
                <w:szCs w:val="16"/>
              </w:rPr>
              <w:t>Աղբյուրը՝ ՀՀ ՎԿ, ՀՀ ՖՆ հաշվարկներ</w:t>
            </w:r>
          </w:p>
        </w:tc>
      </w:tr>
    </w:tbl>
    <w:p w14:paraId="1BDEF39B" w14:textId="77777777" w:rsidR="00137F9C" w:rsidRPr="00345A1C" w:rsidRDefault="00137F9C" w:rsidP="00216B0C">
      <w:pPr>
        <w:spacing w:line="276" w:lineRule="auto"/>
        <w:ind w:firstLine="567"/>
        <w:jc w:val="both"/>
        <w:rPr>
          <w:rFonts w:ascii="GHEA Grapalat" w:hAnsi="GHEA Grapalat"/>
          <w:sz w:val="22"/>
          <w:szCs w:val="22"/>
        </w:rPr>
      </w:pPr>
    </w:p>
    <w:p w14:paraId="197B9D92" w14:textId="533B1C93" w:rsidR="00927AC7" w:rsidRPr="00345A1C" w:rsidRDefault="00927AC7" w:rsidP="00A32D2B">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Արտահանում:</w:t>
      </w:r>
      <w:r w:rsidRPr="00345A1C">
        <w:rPr>
          <w:rFonts w:ascii="GHEA Grapalat" w:eastAsia="GHEA Grapalat" w:hAnsi="GHEA Grapalat" w:cs="GHEA Grapalat"/>
          <w:sz w:val="22"/>
          <w:szCs w:val="22"/>
        </w:rPr>
        <w:t xml:space="preserve"> </w:t>
      </w:r>
      <w:r w:rsidR="00673479">
        <w:rPr>
          <w:rFonts w:ascii="GHEA Grapalat" w:hAnsi="GHEA Grapalat"/>
          <w:sz w:val="22"/>
          <w:szCs w:val="22"/>
        </w:rPr>
        <w:t>2025</w:t>
      </w:r>
      <w:r w:rsidRPr="00313C39">
        <w:rPr>
          <w:rFonts w:ascii="GHEA Grapalat" w:hAnsi="GHEA Grapalat"/>
          <w:sz w:val="22"/>
          <w:szCs w:val="22"/>
        </w:rPr>
        <w:t>թ</w:t>
      </w:r>
      <w:r w:rsidR="0025536A" w:rsidRPr="00313C39">
        <w:rPr>
          <w:rFonts w:ascii="GHEA Grapalat" w:hAnsi="GHEA Grapalat"/>
          <w:sz w:val="22"/>
          <w:szCs w:val="22"/>
        </w:rPr>
        <w:t>.</w:t>
      </w:r>
      <w:r w:rsidRPr="00313C39">
        <w:rPr>
          <w:rFonts w:ascii="GHEA Grapalat" w:hAnsi="GHEA Grapalat"/>
          <w:sz w:val="22"/>
          <w:szCs w:val="22"/>
        </w:rPr>
        <w:t xml:space="preserve"> ապրանքների արտահանում</w:t>
      </w:r>
      <w:r w:rsidR="005C71C6" w:rsidRPr="00B06C86">
        <w:rPr>
          <w:rFonts w:ascii="GHEA Grapalat" w:hAnsi="GHEA Grapalat"/>
          <w:sz w:val="22"/>
          <w:szCs w:val="22"/>
        </w:rPr>
        <w:t>ը</w:t>
      </w:r>
      <w:r w:rsidRPr="00313C39">
        <w:rPr>
          <w:rFonts w:ascii="GHEA Grapalat" w:hAnsi="GHEA Grapalat"/>
          <w:sz w:val="22"/>
          <w:szCs w:val="22"/>
        </w:rPr>
        <w:t xml:space="preserve"> </w:t>
      </w:r>
      <w:r w:rsidR="00673479">
        <w:rPr>
          <w:rFonts w:ascii="GHEA Grapalat" w:hAnsi="GHEA Grapalat"/>
          <w:sz w:val="22"/>
          <w:szCs w:val="22"/>
        </w:rPr>
        <w:t>նվազել է 36.1</w:t>
      </w:r>
      <w:r w:rsidRPr="00313C39">
        <w:rPr>
          <w:rFonts w:ascii="GHEA Grapalat" w:hAnsi="GHEA Grapalat"/>
          <w:sz w:val="22"/>
          <w:szCs w:val="22"/>
        </w:rPr>
        <w:t>%</w:t>
      </w:r>
      <w:r w:rsidR="00313C39" w:rsidRPr="00D874F0">
        <w:rPr>
          <w:rFonts w:ascii="GHEA Grapalat" w:hAnsi="GHEA Grapalat"/>
          <w:sz w:val="22"/>
          <w:szCs w:val="22"/>
        </w:rPr>
        <w:t>-ով</w:t>
      </w:r>
      <w:r w:rsidR="00673479">
        <w:rPr>
          <w:rFonts w:ascii="GHEA Grapalat" w:hAnsi="GHEA Grapalat"/>
          <w:sz w:val="22"/>
          <w:szCs w:val="22"/>
        </w:rPr>
        <w:t>՝</w:t>
      </w:r>
      <w:r w:rsidR="00673479" w:rsidRPr="00673479">
        <w:rPr>
          <w:rFonts w:ascii="GHEA Grapalat" w:hAnsi="GHEA Grapalat"/>
          <w:sz w:val="22"/>
          <w:szCs w:val="22"/>
        </w:rPr>
        <w:t xml:space="preserve"> </w:t>
      </w:r>
      <w:r w:rsidR="00673479" w:rsidRPr="00313C39">
        <w:rPr>
          <w:rFonts w:ascii="GHEA Grapalat" w:hAnsi="GHEA Grapalat"/>
          <w:sz w:val="22"/>
          <w:szCs w:val="22"/>
        </w:rPr>
        <w:t>պայմանավորված վերաարտահանման</w:t>
      </w:r>
      <w:r w:rsidR="00673479">
        <w:rPr>
          <w:rFonts w:ascii="GHEA Grapalat" w:hAnsi="GHEA Grapalat"/>
          <w:sz w:val="22"/>
          <w:szCs w:val="22"/>
        </w:rPr>
        <w:t xml:space="preserve"> ծավալների կտրուկ կրճատմամբ:</w:t>
      </w:r>
      <w:r w:rsidR="00673479" w:rsidRPr="00673479">
        <w:rPr>
          <w:rFonts w:ascii="GHEA Grapalat" w:hAnsi="GHEA Grapalat"/>
          <w:b/>
          <w:sz w:val="22"/>
          <w:szCs w:val="22"/>
        </w:rPr>
        <w:t xml:space="preserve"> </w:t>
      </w:r>
      <w:r w:rsidR="00673479" w:rsidRPr="00AC5380">
        <w:rPr>
          <w:rFonts w:ascii="GHEA Grapalat" w:hAnsi="GHEA Grapalat"/>
          <w:sz w:val="22"/>
          <w:szCs w:val="22"/>
        </w:rPr>
        <w:t>Սակայն ապրանքների արտահանման</w:t>
      </w:r>
      <w:r w:rsidR="005C71C6" w:rsidRPr="00B06C86">
        <w:rPr>
          <w:rFonts w:ascii="GHEA Grapalat" w:hAnsi="GHEA Grapalat"/>
          <w:sz w:val="22"/>
          <w:szCs w:val="22"/>
        </w:rPr>
        <w:t>՝</w:t>
      </w:r>
      <w:r w:rsidR="00673479" w:rsidRPr="00AC5380">
        <w:rPr>
          <w:rFonts w:ascii="GHEA Grapalat" w:hAnsi="GHEA Grapalat"/>
          <w:sz w:val="22"/>
          <w:szCs w:val="22"/>
        </w:rPr>
        <w:t xml:space="preserve"> նախորդ տարվա տարեվերջից սկիզբ առած նվազման միտումներից հետո </w:t>
      </w:r>
      <w:r w:rsidRPr="00AC5380">
        <w:rPr>
          <w:rFonts w:ascii="GHEA Grapalat" w:hAnsi="GHEA Grapalat"/>
          <w:sz w:val="22"/>
          <w:szCs w:val="22"/>
        </w:rPr>
        <w:t xml:space="preserve">նոյեմբեր-դեկտեմբեր ամիսներին արձանագրվել է ապրանքների արտահանման </w:t>
      </w:r>
      <w:r w:rsidR="00AC5380" w:rsidRPr="00AC5380">
        <w:rPr>
          <w:rFonts w:ascii="GHEA Grapalat" w:hAnsi="GHEA Grapalat"/>
          <w:sz w:val="22"/>
          <w:szCs w:val="22"/>
        </w:rPr>
        <w:t>աճ</w:t>
      </w:r>
      <w:r w:rsidR="00C57C4F" w:rsidRPr="00345A1C">
        <w:rPr>
          <w:rFonts w:ascii="GHEA Grapalat" w:hAnsi="GHEA Grapalat"/>
          <w:sz w:val="22"/>
          <w:szCs w:val="22"/>
        </w:rPr>
        <w:t xml:space="preserve"> (տե՛ս Գծապատկեր 23)</w:t>
      </w:r>
      <w:r w:rsidRPr="00345A1C">
        <w:rPr>
          <w:rFonts w:ascii="GHEA Grapalat" w:hAnsi="GHEA Grapalat"/>
          <w:sz w:val="22"/>
          <w:szCs w:val="22"/>
        </w:rPr>
        <w:t xml:space="preserve">, որը պայմանավորված էր </w:t>
      </w:r>
      <w:r w:rsidR="00AC5380">
        <w:rPr>
          <w:rFonts w:ascii="GHEA Grapalat" w:hAnsi="GHEA Grapalat"/>
          <w:sz w:val="22"/>
          <w:szCs w:val="22"/>
        </w:rPr>
        <w:t>հիմ</w:t>
      </w:r>
      <w:r w:rsidR="00051AE2">
        <w:rPr>
          <w:rFonts w:ascii="GHEA Grapalat" w:hAnsi="GHEA Grapalat"/>
          <w:sz w:val="22"/>
          <w:szCs w:val="22"/>
        </w:rPr>
        <w:t>ն</w:t>
      </w:r>
      <w:r w:rsidR="00AC5380">
        <w:rPr>
          <w:rFonts w:ascii="GHEA Grapalat" w:hAnsi="GHEA Grapalat"/>
          <w:sz w:val="22"/>
          <w:szCs w:val="22"/>
        </w:rPr>
        <w:t>ականում ոսկերչական իրերի, հանքահումքային ապրանքատեսակների</w:t>
      </w:r>
      <w:r w:rsidRPr="00345A1C">
        <w:rPr>
          <w:rFonts w:ascii="GHEA Grapalat" w:hAnsi="GHEA Grapalat"/>
          <w:sz w:val="22"/>
          <w:szCs w:val="22"/>
        </w:rPr>
        <w:t xml:space="preserve"> </w:t>
      </w:r>
      <w:r w:rsidR="00AC5380">
        <w:rPr>
          <w:rFonts w:ascii="GHEA Grapalat" w:hAnsi="GHEA Grapalat"/>
          <w:sz w:val="22"/>
          <w:szCs w:val="22"/>
        </w:rPr>
        <w:t>արտահա</w:t>
      </w:r>
      <w:r w:rsidR="000F39BD">
        <w:rPr>
          <w:rFonts w:ascii="GHEA Grapalat" w:hAnsi="GHEA Grapalat"/>
          <w:sz w:val="22"/>
          <w:szCs w:val="22"/>
        </w:rPr>
        <w:t>ն</w:t>
      </w:r>
      <w:r w:rsidR="00AC5380">
        <w:rPr>
          <w:rFonts w:ascii="GHEA Grapalat" w:hAnsi="GHEA Grapalat"/>
          <w:sz w:val="22"/>
          <w:szCs w:val="22"/>
        </w:rPr>
        <w:t>ման աճով</w:t>
      </w:r>
      <w:r w:rsidRPr="00345A1C">
        <w:rPr>
          <w:rFonts w:ascii="GHEA Grapalat" w:hAnsi="GHEA Grapalat"/>
          <w:sz w:val="22"/>
          <w:szCs w:val="22"/>
        </w:rPr>
        <w:t>:</w:t>
      </w:r>
      <w:r w:rsidR="00A17C2E" w:rsidRPr="00A17C2E">
        <w:t xml:space="preserve"> </w:t>
      </w:r>
      <w:r w:rsidR="00A17C2E" w:rsidRPr="00A17C2E">
        <w:rPr>
          <w:rFonts w:ascii="GHEA Grapalat" w:hAnsi="GHEA Grapalat"/>
          <w:sz w:val="22"/>
          <w:szCs w:val="22"/>
        </w:rPr>
        <w:t xml:space="preserve">Ապրանքների արտահանման իրական ծավալները նվազել են </w:t>
      </w:r>
      <w:r w:rsidR="0054672A">
        <w:rPr>
          <w:rFonts w:ascii="GHEA Grapalat" w:hAnsi="GHEA Grapalat"/>
          <w:sz w:val="22"/>
          <w:szCs w:val="22"/>
        </w:rPr>
        <w:t>40.1</w:t>
      </w:r>
      <w:r w:rsidR="00A17C2E" w:rsidRPr="00A17C2E">
        <w:rPr>
          <w:rFonts w:ascii="GHEA Grapalat" w:hAnsi="GHEA Grapalat"/>
          <w:sz w:val="22"/>
          <w:szCs w:val="22"/>
        </w:rPr>
        <w:t>%</w:t>
      </w:r>
      <w:r w:rsidR="005C71C6" w:rsidRPr="00B06C86">
        <w:rPr>
          <w:rFonts w:ascii="GHEA Grapalat" w:hAnsi="GHEA Grapalat"/>
          <w:sz w:val="22"/>
          <w:szCs w:val="22"/>
        </w:rPr>
        <w:t>-ով</w:t>
      </w:r>
      <w:r w:rsidR="00A17C2E" w:rsidRPr="00A17C2E">
        <w:rPr>
          <w:rFonts w:ascii="GHEA Grapalat" w:hAnsi="GHEA Grapalat"/>
          <w:sz w:val="22"/>
          <w:szCs w:val="22"/>
        </w:rPr>
        <w:t>: Իսկ հայկական ծագման ապրանքների արտահանման ծավալները նախորդ տարվա համեմատ աճել են:</w:t>
      </w:r>
    </w:p>
    <w:p w14:paraId="3658B7D1" w14:textId="3687984A" w:rsidR="00927AC7" w:rsidRPr="00345A1C" w:rsidRDefault="00927AC7" w:rsidP="00B33708">
      <w:pPr>
        <w:spacing w:line="276" w:lineRule="auto"/>
        <w:ind w:firstLine="567"/>
        <w:jc w:val="both"/>
        <w:rPr>
          <w:rFonts w:ascii="GHEA Grapalat" w:eastAsia="GHEA Grapalat" w:hAnsi="GHEA Grapalat" w:cs="GHEA Grapalat"/>
          <w:sz w:val="22"/>
          <w:szCs w:val="22"/>
        </w:rPr>
      </w:pPr>
      <w:r w:rsidRPr="00D049B8">
        <w:rPr>
          <w:rFonts w:ascii="GHEA Grapalat" w:hAnsi="GHEA Grapalat"/>
          <w:sz w:val="22"/>
          <w:szCs w:val="22"/>
        </w:rPr>
        <w:t>Արտահանման</w:t>
      </w:r>
      <w:r w:rsidRPr="00345A1C">
        <w:rPr>
          <w:rFonts w:ascii="GHEA Grapalat" w:eastAsia="GHEA Grapalat" w:hAnsi="GHEA Grapalat" w:cs="GHEA Grapalat"/>
          <w:sz w:val="22"/>
          <w:szCs w:val="22"/>
        </w:rPr>
        <w:t xml:space="preserve"> </w:t>
      </w:r>
      <w:r w:rsidR="00A17C2E">
        <w:rPr>
          <w:rFonts w:ascii="GHEA Grapalat" w:eastAsia="GHEA Grapalat" w:hAnsi="GHEA Grapalat" w:cs="GHEA Grapalat"/>
          <w:sz w:val="22"/>
          <w:szCs w:val="22"/>
        </w:rPr>
        <w:t>նվազմանն</w:t>
      </w:r>
      <w:r w:rsidRPr="00345A1C">
        <w:rPr>
          <w:rFonts w:ascii="GHEA Grapalat" w:eastAsia="GHEA Grapalat" w:hAnsi="GHEA Grapalat" w:cs="GHEA Grapalat"/>
          <w:sz w:val="22"/>
          <w:szCs w:val="22"/>
        </w:rPr>
        <w:t xml:space="preserve"> ամենամեծ նպաստումն է ուն</w:t>
      </w:r>
      <w:r w:rsidR="00D049B8" w:rsidRPr="00D874F0">
        <w:rPr>
          <w:rFonts w:ascii="GHEA Grapalat" w:eastAsia="GHEA Grapalat" w:hAnsi="GHEA Grapalat" w:cs="GHEA Grapalat"/>
          <w:sz w:val="22"/>
          <w:szCs w:val="22"/>
        </w:rPr>
        <w:t>ե</w:t>
      </w:r>
      <w:r w:rsidRPr="00345A1C">
        <w:rPr>
          <w:rFonts w:ascii="GHEA Grapalat" w:eastAsia="GHEA Grapalat" w:hAnsi="GHEA Grapalat" w:cs="GHEA Grapalat"/>
          <w:sz w:val="22"/>
          <w:szCs w:val="22"/>
        </w:rPr>
        <w:t>ցել «Թանկարժեք և կիսաթանկարժեք քարեր, թանկարժեք մետաղներ և դրանցից իրեր» (</w:t>
      </w:r>
      <w:r w:rsidR="00A17C2E">
        <w:rPr>
          <w:rFonts w:ascii="GHEA Grapalat" w:eastAsia="GHEA Grapalat" w:hAnsi="GHEA Grapalat" w:cs="GHEA Grapalat"/>
          <w:sz w:val="22"/>
          <w:szCs w:val="22"/>
        </w:rPr>
        <w:t>39.6</w:t>
      </w:r>
      <w:r w:rsidRPr="00345A1C">
        <w:rPr>
          <w:rFonts w:ascii="GHEA Grapalat" w:eastAsia="GHEA Grapalat" w:hAnsi="GHEA Grapalat" w:cs="GHEA Grapalat"/>
          <w:sz w:val="22"/>
          <w:szCs w:val="22"/>
        </w:rPr>
        <w:t xml:space="preserve"> տոկոսային կետ) ապրանքախումբը (հիմնականում՝ «</w:t>
      </w:r>
      <w:r w:rsidR="00D049B8" w:rsidRPr="00D874F0">
        <w:rPr>
          <w:rFonts w:ascii="GHEA Grapalat" w:eastAsia="GHEA Grapalat" w:hAnsi="GHEA Grapalat" w:cs="GHEA Grapalat"/>
          <w:sz w:val="22"/>
          <w:szCs w:val="22"/>
        </w:rPr>
        <w:t>Ո</w:t>
      </w:r>
      <w:r w:rsidRPr="00345A1C">
        <w:rPr>
          <w:rFonts w:ascii="GHEA Grapalat" w:eastAsia="GHEA Grapalat" w:hAnsi="GHEA Grapalat" w:cs="GHEA Grapalat"/>
          <w:sz w:val="22"/>
          <w:szCs w:val="22"/>
        </w:rPr>
        <w:t xml:space="preserve">սկի անմշակ կամ </w:t>
      </w:r>
      <w:r w:rsidRPr="00B33708">
        <w:rPr>
          <w:rFonts w:ascii="GHEA Grapalat" w:hAnsi="GHEA Grapalat"/>
          <w:sz w:val="22"/>
          <w:szCs w:val="22"/>
        </w:rPr>
        <w:t>կիսամշակ</w:t>
      </w:r>
      <w:r w:rsidRPr="00345A1C">
        <w:rPr>
          <w:rFonts w:ascii="GHEA Grapalat" w:eastAsia="GHEA Grapalat" w:hAnsi="GHEA Grapalat" w:cs="GHEA Grapalat"/>
          <w:sz w:val="22"/>
          <w:szCs w:val="22"/>
        </w:rPr>
        <w:t>,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w:t>
      </w:r>
      <w:r w:rsidR="00D049B8" w:rsidRPr="00D874F0">
        <w:rPr>
          <w:rFonts w:ascii="GHEA Grapalat" w:eastAsia="GHEA Grapalat" w:hAnsi="GHEA Grapalat" w:cs="GHEA Grapalat"/>
          <w:sz w:val="22"/>
          <w:szCs w:val="22"/>
        </w:rPr>
        <w:t>Ո</w:t>
      </w:r>
      <w:r w:rsidRPr="00345A1C">
        <w:rPr>
          <w:rFonts w:ascii="GHEA Grapalat" w:eastAsia="GHEA Grapalat" w:hAnsi="GHEA Grapalat" w:cs="GHEA Grapalat"/>
          <w:sz w:val="22"/>
          <w:szCs w:val="22"/>
        </w:rPr>
        <w:t>սկերչական իրեր», «Պլատին անմշակ կամ կիսամշակ, փոշի» և «Արծաթ անմշակ կամ կիսամշակ,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 xml:space="preserve">ապրանքախմբերը)՝ </w:t>
      </w:r>
      <w:r w:rsidR="00C57C4F" w:rsidRPr="00345A1C">
        <w:rPr>
          <w:rFonts w:ascii="GHEA Grapalat" w:eastAsia="GHEA Grapalat" w:hAnsi="GHEA Grapalat" w:cs="GHEA Grapalat"/>
          <w:sz w:val="22"/>
          <w:szCs w:val="22"/>
        </w:rPr>
        <w:t xml:space="preserve">պայմանավորված </w:t>
      </w:r>
      <w:r w:rsidRPr="00345A1C">
        <w:rPr>
          <w:rFonts w:ascii="GHEA Grapalat" w:eastAsia="GHEA Grapalat" w:hAnsi="GHEA Grapalat" w:cs="GHEA Grapalat"/>
          <w:sz w:val="22"/>
          <w:szCs w:val="22"/>
        </w:rPr>
        <w:t xml:space="preserve">վերաարտահանման գործոնով: Արտահանման </w:t>
      </w:r>
      <w:r w:rsidR="005C71C6">
        <w:rPr>
          <w:rFonts w:ascii="GHEA Grapalat" w:eastAsia="GHEA Grapalat" w:hAnsi="GHEA Grapalat" w:cs="GHEA Grapalat"/>
          <w:sz w:val="22"/>
          <w:szCs w:val="22"/>
        </w:rPr>
        <w:t>անկ</w:t>
      </w:r>
      <w:r w:rsidR="00A17C2E">
        <w:rPr>
          <w:rFonts w:ascii="GHEA Grapalat" w:eastAsia="GHEA Grapalat" w:hAnsi="GHEA Grapalat" w:cs="GHEA Grapalat"/>
          <w:sz w:val="22"/>
          <w:szCs w:val="22"/>
        </w:rPr>
        <w:t xml:space="preserve">մանը հակազդել են </w:t>
      </w:r>
      <w:r w:rsidR="00A17C2E" w:rsidRPr="00A17C2E">
        <w:rPr>
          <w:rFonts w:ascii="GHEA Grapalat" w:eastAsia="GHEA Grapalat" w:hAnsi="GHEA Grapalat" w:cs="GHEA Grapalat"/>
          <w:sz w:val="22"/>
          <w:szCs w:val="22"/>
        </w:rPr>
        <w:t>և դրական նպաստում են ունեցել «Պատրաստի սննդի արտադրանք» (</w:t>
      </w:r>
      <w:r w:rsidR="00A17C2E">
        <w:rPr>
          <w:rFonts w:ascii="GHEA Grapalat" w:eastAsia="GHEA Grapalat" w:hAnsi="GHEA Grapalat" w:cs="GHEA Grapalat"/>
          <w:sz w:val="22"/>
          <w:szCs w:val="22"/>
        </w:rPr>
        <w:t>2.1</w:t>
      </w:r>
      <w:r w:rsidR="00A17C2E" w:rsidRPr="00A17C2E">
        <w:rPr>
          <w:rFonts w:ascii="GHEA Grapalat" w:eastAsia="GHEA Grapalat" w:hAnsi="GHEA Grapalat" w:cs="GHEA Grapalat"/>
          <w:sz w:val="22"/>
          <w:szCs w:val="22"/>
        </w:rPr>
        <w:t xml:space="preserve"> տոկոսային կետով), «Հանքահումքային </w:t>
      </w:r>
      <w:r w:rsidR="00A17C2E" w:rsidRPr="00A17C2E">
        <w:rPr>
          <w:rFonts w:ascii="GHEA Grapalat" w:eastAsia="GHEA Grapalat" w:hAnsi="GHEA Grapalat" w:cs="GHEA Grapalat"/>
          <w:sz w:val="22"/>
          <w:szCs w:val="22"/>
        </w:rPr>
        <w:lastRenderedPageBreak/>
        <w:t>արտադրանք» (</w:t>
      </w:r>
      <w:r w:rsidR="00A17C2E">
        <w:rPr>
          <w:rFonts w:ascii="GHEA Grapalat" w:eastAsia="GHEA Grapalat" w:hAnsi="GHEA Grapalat" w:cs="GHEA Grapalat"/>
          <w:sz w:val="22"/>
          <w:szCs w:val="22"/>
        </w:rPr>
        <w:t>1.5</w:t>
      </w:r>
      <w:r w:rsidR="00A17C2E" w:rsidRPr="00A17C2E">
        <w:rPr>
          <w:rFonts w:ascii="GHEA Grapalat" w:eastAsia="GHEA Grapalat" w:hAnsi="GHEA Grapalat" w:cs="GHEA Grapalat"/>
          <w:sz w:val="22"/>
          <w:szCs w:val="22"/>
        </w:rPr>
        <w:t xml:space="preserve"> տոկոսային կետով), «Բուսական ծագման արտադրանք</w:t>
      </w:r>
      <w:r w:rsidR="00A17C2E">
        <w:rPr>
          <w:rFonts w:ascii="GHEA Grapalat" w:eastAsia="GHEA Grapalat" w:hAnsi="GHEA Grapalat" w:cs="GHEA Grapalat"/>
          <w:sz w:val="22"/>
          <w:szCs w:val="22"/>
        </w:rPr>
        <w:t>» (0.4</w:t>
      </w:r>
      <w:r w:rsidR="00A17C2E" w:rsidRPr="00A17C2E">
        <w:rPr>
          <w:rFonts w:ascii="GHEA Grapalat" w:eastAsia="GHEA Grapalat" w:hAnsi="GHEA Grapalat" w:cs="GHEA Grapalat"/>
          <w:sz w:val="22"/>
          <w:szCs w:val="22"/>
        </w:rPr>
        <w:t xml:space="preserve"> տոկոսային կետով) և «Սարքեր ապարատներ» (0.</w:t>
      </w:r>
      <w:r w:rsidR="00A17C2E">
        <w:rPr>
          <w:rFonts w:ascii="GHEA Grapalat" w:eastAsia="GHEA Grapalat" w:hAnsi="GHEA Grapalat" w:cs="GHEA Grapalat"/>
          <w:sz w:val="22"/>
          <w:szCs w:val="22"/>
        </w:rPr>
        <w:t>5</w:t>
      </w:r>
      <w:r w:rsidR="00A17C2E" w:rsidRPr="00A17C2E">
        <w:rPr>
          <w:rFonts w:ascii="GHEA Grapalat" w:eastAsia="GHEA Grapalat" w:hAnsi="GHEA Grapalat" w:cs="GHEA Grapalat"/>
          <w:sz w:val="22"/>
          <w:szCs w:val="22"/>
        </w:rPr>
        <w:t xml:space="preserve"> տոկոսային կետով) ապրանքախմբերը</w:t>
      </w:r>
      <w:r w:rsidRPr="00345A1C">
        <w:rPr>
          <w:rFonts w:ascii="GHEA Grapalat" w:eastAsia="GHEA Grapalat" w:hAnsi="GHEA Grapalat" w:cs="GHEA Grapalat"/>
          <w:sz w:val="22"/>
          <w:szCs w:val="22"/>
        </w:rPr>
        <w:t xml:space="preserve">: </w:t>
      </w:r>
    </w:p>
    <w:p w14:paraId="1F7F5A3C" w14:textId="7789D089" w:rsidR="00B55BEA" w:rsidRDefault="00B55BEA" w:rsidP="00B33708">
      <w:pPr>
        <w:spacing w:line="276" w:lineRule="auto"/>
        <w:ind w:firstLine="567"/>
        <w:jc w:val="both"/>
        <w:rPr>
          <w:rFonts w:ascii="GHEA Grapalat" w:eastAsia="GHEA Grapalat" w:hAnsi="GHEA Grapalat" w:cs="GHEA Grapalat"/>
          <w:sz w:val="22"/>
          <w:szCs w:val="22"/>
        </w:rPr>
      </w:pPr>
    </w:p>
    <w:p w14:paraId="767712C6" w14:textId="77777777" w:rsidR="006D4D51" w:rsidRPr="0025536A" w:rsidRDefault="006D4D51" w:rsidP="006D4D51">
      <w:pPr>
        <w:spacing w:line="276" w:lineRule="auto"/>
        <w:jc w:val="both"/>
        <w:rPr>
          <w:rFonts w:ascii="GHEA Grapalat" w:hAnsi="GHEA Grapalat"/>
          <w:b/>
          <w:sz w:val="18"/>
          <w:szCs w:val="18"/>
        </w:rPr>
      </w:pPr>
      <w:r w:rsidRPr="0025536A">
        <w:rPr>
          <w:rFonts w:ascii="GHEA Grapalat" w:eastAsia="GHEA Grapalat" w:hAnsi="GHEA Grapalat" w:cs="GHEA Grapalat"/>
          <w:b/>
          <w:sz w:val="18"/>
          <w:szCs w:val="18"/>
        </w:rPr>
        <w:t>Գծապատկեր 2</w:t>
      </w:r>
      <w:r>
        <w:rPr>
          <w:rFonts w:ascii="GHEA Grapalat" w:eastAsia="GHEA Grapalat" w:hAnsi="GHEA Grapalat" w:cs="GHEA Grapalat"/>
          <w:b/>
          <w:sz w:val="18"/>
          <w:szCs w:val="18"/>
        </w:rPr>
        <w:t>2</w:t>
      </w:r>
      <w:r w:rsidRPr="0025536A">
        <w:rPr>
          <w:rFonts w:ascii="GHEA Grapalat" w:eastAsia="GHEA Grapalat" w:hAnsi="GHEA Grapalat" w:cs="GHEA Grapalat"/>
          <w:b/>
          <w:sz w:val="18"/>
          <w:szCs w:val="18"/>
        </w:rPr>
        <w:t xml:space="preserve">. </w:t>
      </w:r>
      <w:r w:rsidRPr="0025536A">
        <w:rPr>
          <w:rFonts w:ascii="GHEA Grapalat" w:hAnsi="GHEA Grapalat"/>
          <w:b/>
          <w:sz w:val="18"/>
          <w:szCs w:val="18"/>
        </w:rPr>
        <w:t>Ապրանքների արտահանման ամսական միտումները 202</w:t>
      </w:r>
      <w:r>
        <w:rPr>
          <w:rFonts w:ascii="GHEA Grapalat" w:hAnsi="GHEA Grapalat"/>
          <w:b/>
          <w:sz w:val="18"/>
          <w:szCs w:val="18"/>
        </w:rPr>
        <w:t>5</w:t>
      </w:r>
      <w:r w:rsidRPr="0025536A">
        <w:rPr>
          <w:rFonts w:ascii="GHEA Grapalat" w:hAnsi="GHEA Grapalat"/>
          <w:b/>
          <w:sz w:val="18"/>
          <w:szCs w:val="18"/>
        </w:rPr>
        <w:t>թ, %</w:t>
      </w:r>
    </w:p>
    <w:p w14:paraId="51183F33" w14:textId="77777777" w:rsidR="006D4D51" w:rsidRPr="00345A1C" w:rsidRDefault="006D4D51" w:rsidP="006D4D51">
      <w:pPr>
        <w:keepNext/>
        <w:spacing w:line="276" w:lineRule="auto"/>
        <w:rPr>
          <w:rFonts w:ascii="GHEA Grapalat" w:hAnsi="GHEA Grapalat"/>
        </w:rPr>
      </w:pPr>
      <w:r w:rsidRPr="00345A1C">
        <w:rPr>
          <w:rFonts w:ascii="GHEA Grapalat" w:hAnsi="GHEA Grapalat"/>
          <w:sz w:val="22"/>
          <w:szCs w:val="22"/>
          <w:lang w:val="en-US"/>
        </w:rPr>
        <w:drawing>
          <wp:inline distT="0" distB="0" distL="0" distR="0" wp14:anchorId="0E743458" wp14:editId="19D95F7E">
            <wp:extent cx="3152775" cy="2447925"/>
            <wp:effectExtent l="0" t="0" r="9525" b="9525"/>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345A1C">
        <w:rPr>
          <w:rFonts w:ascii="GHEA Grapalat" w:eastAsia="GHEA Grapalat" w:hAnsi="GHEA Grapalat" w:cs="GHEA Grapalat"/>
          <w:i/>
          <w:color w:val="000000"/>
          <w:sz w:val="18"/>
          <w:szCs w:val="18"/>
        </w:rPr>
        <w:t xml:space="preserve"> </w:t>
      </w:r>
      <w:r w:rsidRPr="00345A1C">
        <w:rPr>
          <w:rFonts w:ascii="GHEA Grapalat" w:eastAsia="Calibri" w:hAnsi="GHEA Grapalat"/>
          <w:i/>
          <w:sz w:val="22"/>
          <w:szCs w:val="22"/>
          <w:lang w:val="en-US"/>
        </w:rPr>
        <w:drawing>
          <wp:inline distT="0" distB="0" distL="0" distR="0" wp14:anchorId="3A25FA1B" wp14:editId="5DF8AA29">
            <wp:extent cx="3181350" cy="2457450"/>
            <wp:effectExtent l="0" t="0" r="0" b="0"/>
            <wp:docPr id="1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A3D5860" w14:textId="77777777" w:rsidR="006D4D51" w:rsidRPr="00345A1C" w:rsidRDefault="006D4D51" w:rsidP="006D4D51">
      <w:pPr>
        <w:keepNext/>
        <w:spacing w:after="120" w:line="276" w:lineRule="auto"/>
        <w:rPr>
          <w:rFonts w:ascii="GHEA Grapalat" w:eastAsia="GHEA Grapalat" w:hAnsi="GHEA Grapalat" w:cs="GHEA Grapalat"/>
          <w:i/>
          <w:color w:val="000000"/>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2A65665A" w14:textId="40AB6986" w:rsidR="00927AC7" w:rsidRDefault="00927AC7" w:rsidP="00B33708">
      <w:pPr>
        <w:spacing w:line="276" w:lineRule="auto"/>
        <w:ind w:firstLine="567"/>
        <w:jc w:val="both"/>
        <w:rPr>
          <w:rFonts w:ascii="GHEA Grapalat" w:eastAsia="GHEA Grapalat" w:hAnsi="GHEA Grapalat" w:cs="GHEA Grapalat"/>
          <w:sz w:val="22"/>
          <w:szCs w:val="22"/>
        </w:rPr>
      </w:pPr>
      <w:r w:rsidRPr="000645E3">
        <w:rPr>
          <w:rFonts w:ascii="GHEA Grapalat" w:eastAsia="GHEA Grapalat" w:hAnsi="GHEA Grapalat" w:cs="GHEA Grapalat"/>
          <w:sz w:val="22"/>
          <w:szCs w:val="22"/>
        </w:rPr>
        <w:t xml:space="preserve"> </w:t>
      </w:r>
      <w:bookmarkEnd w:id="8"/>
      <w:bookmarkEnd w:id="9"/>
    </w:p>
    <w:p w14:paraId="33B75CB8" w14:textId="5794169D" w:rsidR="00B33708" w:rsidRDefault="00B33708" w:rsidP="00B33708">
      <w:pPr>
        <w:spacing w:line="276" w:lineRule="auto"/>
        <w:ind w:firstLine="567"/>
        <w:jc w:val="both"/>
        <w:rPr>
          <w:rFonts w:ascii="GHEA Grapalat" w:eastAsia="GHEA Grapalat" w:hAnsi="GHEA Grapalat" w:cs="GHEA Grapalat"/>
          <w:sz w:val="22"/>
          <w:szCs w:val="22"/>
        </w:rPr>
      </w:pPr>
      <w:r w:rsidRPr="00345A1C">
        <w:rPr>
          <w:rFonts w:ascii="GHEA Grapalat" w:eastAsia="GHEA Grapalat" w:hAnsi="GHEA Grapalat" w:cs="GHEA Grapalat"/>
          <w:b/>
          <w:i/>
          <w:sz w:val="22"/>
          <w:szCs w:val="22"/>
        </w:rPr>
        <w:t>Ներմուծում:</w:t>
      </w:r>
      <w:r w:rsidRPr="00345A1C">
        <w:rPr>
          <w:rFonts w:ascii="GHEA Grapalat" w:eastAsia="GHEA Grapalat" w:hAnsi="GHEA Grapalat" w:cs="GHEA Grapalat"/>
          <w:b/>
          <w:sz w:val="22"/>
          <w:szCs w:val="22"/>
        </w:rPr>
        <w:t xml:space="preserve"> </w:t>
      </w:r>
      <w:r w:rsidRPr="00B55BEA">
        <w:rPr>
          <w:rFonts w:ascii="GHEA Grapalat" w:eastAsia="GHEA Grapalat" w:hAnsi="GHEA Grapalat" w:cs="GHEA Grapalat"/>
          <w:sz w:val="22"/>
          <w:szCs w:val="22"/>
        </w:rPr>
        <w:t>202</w:t>
      </w:r>
      <w:r w:rsidRPr="00B05992">
        <w:rPr>
          <w:rFonts w:ascii="GHEA Grapalat" w:eastAsia="GHEA Grapalat" w:hAnsi="GHEA Grapalat" w:cs="GHEA Grapalat"/>
          <w:sz w:val="22"/>
          <w:szCs w:val="22"/>
        </w:rPr>
        <w:t>5</w:t>
      </w:r>
      <w:r w:rsidRPr="00B55BEA">
        <w:rPr>
          <w:rFonts w:ascii="GHEA Grapalat" w:eastAsia="GHEA Grapalat" w:hAnsi="GHEA Grapalat" w:cs="GHEA Grapalat"/>
          <w:sz w:val="22"/>
          <w:szCs w:val="22"/>
        </w:rPr>
        <w:t xml:space="preserve">թ. </w:t>
      </w:r>
      <w:r w:rsidRPr="00B05992">
        <w:rPr>
          <w:rFonts w:ascii="GHEA Grapalat" w:eastAsia="GHEA Grapalat" w:hAnsi="GHEA Grapalat" w:cs="GHEA Grapalat"/>
          <w:sz w:val="22"/>
          <w:szCs w:val="22"/>
        </w:rPr>
        <w:t>արձանագրվել է ապրանքների ներմուծման ծավալների նվազում (</w:t>
      </w:r>
      <w:r w:rsidRPr="00927B5E">
        <w:rPr>
          <w:rFonts w:ascii="GHEA Grapalat" w:eastAsia="GHEA Grapalat" w:hAnsi="GHEA Grapalat" w:cs="GHEA Grapalat"/>
          <w:sz w:val="22"/>
          <w:szCs w:val="22"/>
        </w:rPr>
        <w:t>23.6</w:t>
      </w:r>
      <w:r w:rsidRPr="00B05992">
        <w:rPr>
          <w:rFonts w:ascii="GHEA Grapalat" w:eastAsia="GHEA Grapalat" w:hAnsi="GHEA Grapalat" w:cs="GHEA Grapalat"/>
          <w:sz w:val="22"/>
          <w:szCs w:val="22"/>
        </w:rPr>
        <w:t>%)՝ հիմնականում պայմանավորված վերաարտահանման նպատակով ներմուծվող թանկարժեք մետաղների ներմուծման ծավալների կտրուկ անկմամբ</w:t>
      </w:r>
      <w:r>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w:t>
      </w:r>
      <w:r>
        <w:rPr>
          <w:rFonts w:ascii="GHEA Grapalat" w:eastAsia="GHEA Grapalat" w:hAnsi="GHEA Grapalat" w:cs="GHEA Grapalat"/>
          <w:sz w:val="22"/>
          <w:szCs w:val="22"/>
        </w:rPr>
        <w:t>2025</w:t>
      </w:r>
      <w:r w:rsidRPr="00B55BEA">
        <w:rPr>
          <w:rFonts w:ascii="GHEA Grapalat" w:eastAsia="GHEA Grapalat" w:hAnsi="GHEA Grapalat" w:cs="GHEA Grapalat"/>
          <w:sz w:val="22"/>
          <w:szCs w:val="22"/>
        </w:rPr>
        <w:t xml:space="preserve">թ. </w:t>
      </w:r>
      <w:r>
        <w:rPr>
          <w:rFonts w:ascii="GHEA Grapalat" w:eastAsia="GHEA Grapalat" w:hAnsi="GHEA Grapalat" w:cs="GHEA Grapalat"/>
          <w:sz w:val="22"/>
          <w:szCs w:val="22"/>
        </w:rPr>
        <w:t>սեպտեմբեր</w:t>
      </w:r>
      <w:r w:rsidRPr="00B55BEA">
        <w:rPr>
          <w:rFonts w:ascii="GHEA Grapalat" w:eastAsia="GHEA Grapalat" w:hAnsi="GHEA Grapalat" w:cs="GHEA Grapalat"/>
          <w:sz w:val="22"/>
          <w:szCs w:val="22"/>
        </w:rPr>
        <w:t xml:space="preserve"> ամսից արձանագրվել է ներմուծման </w:t>
      </w:r>
      <w:r>
        <w:rPr>
          <w:rFonts w:ascii="GHEA Grapalat" w:eastAsia="GHEA Grapalat" w:hAnsi="GHEA Grapalat" w:cs="GHEA Grapalat"/>
          <w:sz w:val="22"/>
          <w:szCs w:val="22"/>
        </w:rPr>
        <w:t>նվազման</w:t>
      </w:r>
      <w:r w:rsidRPr="00B55BEA">
        <w:rPr>
          <w:rFonts w:ascii="GHEA Grapalat" w:eastAsia="GHEA Grapalat" w:hAnsi="GHEA Grapalat" w:cs="GHEA Grapalat"/>
          <w:sz w:val="22"/>
          <w:szCs w:val="22"/>
        </w:rPr>
        <w:t xml:space="preserve"> տեմպերի կտրուկ դանդաղում՝ </w:t>
      </w:r>
      <w:r>
        <w:rPr>
          <w:rFonts w:ascii="GHEA Grapalat" w:eastAsia="GHEA Grapalat" w:hAnsi="GHEA Grapalat" w:cs="GHEA Grapalat"/>
          <w:sz w:val="22"/>
          <w:szCs w:val="22"/>
        </w:rPr>
        <w:t>պայ</w:t>
      </w:r>
      <w:r w:rsidRPr="00D874F0">
        <w:rPr>
          <w:rFonts w:ascii="GHEA Grapalat" w:eastAsia="GHEA Grapalat" w:hAnsi="GHEA Grapalat" w:cs="GHEA Grapalat"/>
          <w:sz w:val="22"/>
          <w:szCs w:val="22"/>
        </w:rPr>
        <w:t>մ</w:t>
      </w:r>
      <w:r w:rsidRPr="00B55BEA">
        <w:rPr>
          <w:rFonts w:ascii="GHEA Grapalat" w:eastAsia="GHEA Grapalat" w:hAnsi="GHEA Grapalat" w:cs="GHEA Grapalat"/>
          <w:sz w:val="22"/>
          <w:szCs w:val="22"/>
        </w:rPr>
        <w:t>անավորված վերը նշված վերաարտահանման գործոններով</w:t>
      </w:r>
      <w:r w:rsidRPr="00345A1C">
        <w:rPr>
          <w:rFonts w:ascii="GHEA Grapalat" w:eastAsia="GHEA Grapalat" w:hAnsi="GHEA Grapalat" w:cs="GHEA Grapalat"/>
          <w:sz w:val="22"/>
          <w:szCs w:val="22"/>
        </w:rPr>
        <w:t xml:space="preserve">: Սակայն հատկանշական է այն հանգամանքը, որ ինչպես արտահանման, այնպես էլ ներմուծման դեպքում նոյեմբեր ամսից նկատվել է ներմուծման կտրուկ </w:t>
      </w:r>
      <w:r>
        <w:rPr>
          <w:rFonts w:ascii="GHEA Grapalat" w:eastAsia="GHEA Grapalat" w:hAnsi="GHEA Grapalat" w:cs="GHEA Grapalat"/>
          <w:sz w:val="22"/>
          <w:szCs w:val="22"/>
        </w:rPr>
        <w:t>աճ</w:t>
      </w:r>
      <w:r w:rsidRPr="00345A1C">
        <w:rPr>
          <w:rFonts w:ascii="GHEA Grapalat" w:eastAsia="GHEA Grapalat" w:hAnsi="GHEA Grapalat" w:cs="GHEA Grapalat"/>
          <w:sz w:val="22"/>
          <w:szCs w:val="22"/>
        </w:rPr>
        <w:t xml:space="preserve"> (նախորդ տարվա</w:t>
      </w:r>
      <w:r>
        <w:rPr>
          <w:rFonts w:ascii="GHEA Grapalat" w:eastAsia="GHEA Grapalat" w:hAnsi="GHEA Grapalat" w:cs="GHEA Grapalat"/>
          <w:sz w:val="22"/>
          <w:szCs w:val="22"/>
        </w:rPr>
        <w:t xml:space="preserve"> նույն ամիսների</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նվազման</w:t>
      </w:r>
      <w:r w:rsidRPr="00345A1C">
        <w:rPr>
          <w:rFonts w:ascii="GHEA Grapalat" w:eastAsia="GHEA Grapalat" w:hAnsi="GHEA Grapalat" w:cs="GHEA Grapalat"/>
          <w:sz w:val="22"/>
          <w:szCs w:val="22"/>
        </w:rPr>
        <w:t xml:space="preserve"> բազայով</w:t>
      </w:r>
      <w:r w:rsidRPr="00D62FE3">
        <w:rPr>
          <w:rFonts w:ascii="GHEA Grapalat" w:eastAsia="GHEA Grapalat" w:hAnsi="GHEA Grapalat" w:cs="GHEA Grapalat"/>
          <w:sz w:val="22"/>
          <w:szCs w:val="22"/>
        </w:rPr>
        <w:t xml:space="preserve"> </w:t>
      </w:r>
      <w:r>
        <w:rPr>
          <w:rFonts w:ascii="GHEA Grapalat" w:eastAsia="GHEA Grapalat" w:hAnsi="GHEA Grapalat" w:cs="GHEA Grapalat"/>
          <w:sz w:val="22"/>
          <w:szCs w:val="22"/>
        </w:rPr>
        <w:t>պայմանավորված</w:t>
      </w:r>
      <w:r w:rsidRPr="00D62FE3">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w:t>
      </w:r>
      <w:r w:rsidRPr="00B55BEA">
        <w:rPr>
          <w:rFonts w:ascii="GHEA Grapalat" w:eastAsia="GHEA Grapalat" w:hAnsi="GHEA Grapalat" w:cs="GHEA Grapalat"/>
          <w:sz w:val="22"/>
          <w:szCs w:val="22"/>
        </w:rPr>
        <w:t>(տե՛ս Գծապատկեր</w:t>
      </w:r>
      <w:r>
        <w:rPr>
          <w:rFonts w:ascii="GHEA Grapalat" w:eastAsia="GHEA Grapalat" w:hAnsi="GHEA Grapalat" w:cs="GHEA Grapalat"/>
          <w:sz w:val="22"/>
          <w:szCs w:val="22"/>
        </w:rPr>
        <w:t xml:space="preserve"> 24):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դոլարային արտահայտությամբ ապրանքների ներմուծման ծավալ</w:t>
      </w:r>
      <w:r w:rsidR="005C71C6" w:rsidRPr="00B06C86">
        <w:rPr>
          <w:rFonts w:ascii="GHEA Grapalat" w:eastAsia="GHEA Grapalat" w:hAnsi="GHEA Grapalat" w:cs="GHEA Grapalat"/>
          <w:sz w:val="22"/>
          <w:szCs w:val="22"/>
        </w:rPr>
        <w:t>ը</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նվազ</w:t>
      </w:r>
      <w:r w:rsidRPr="00345A1C">
        <w:rPr>
          <w:rFonts w:ascii="GHEA Grapalat" w:eastAsia="GHEA Grapalat" w:hAnsi="GHEA Grapalat" w:cs="GHEA Grapalat"/>
          <w:sz w:val="22"/>
          <w:szCs w:val="22"/>
        </w:rPr>
        <w:t>ել է</w:t>
      </w:r>
      <w:r>
        <w:rPr>
          <w:rFonts w:ascii="GHEA Grapalat" w:eastAsia="GHEA Grapalat" w:hAnsi="GHEA Grapalat" w:cs="GHEA Grapalat"/>
          <w:sz w:val="22"/>
          <w:szCs w:val="22"/>
        </w:rPr>
        <w:t xml:space="preserve"> 23.6</w:t>
      </w:r>
      <w:r w:rsidRPr="00345A1C">
        <w:rPr>
          <w:rFonts w:ascii="GHEA Grapalat" w:eastAsia="GHEA Grapalat" w:hAnsi="GHEA Grapalat" w:cs="GHEA Grapalat"/>
          <w:sz w:val="22"/>
          <w:szCs w:val="22"/>
        </w:rPr>
        <w:t>%-ով՝ կազմելով</w:t>
      </w:r>
      <w:r>
        <w:rPr>
          <w:rFonts w:ascii="GHEA Grapalat" w:eastAsia="GHEA Grapalat" w:hAnsi="GHEA Grapalat" w:cs="GHEA Grapalat"/>
          <w:sz w:val="22"/>
          <w:szCs w:val="22"/>
        </w:rPr>
        <w:t xml:space="preserve"> 13,035</w:t>
      </w:r>
      <w:r w:rsidRPr="00345A1C">
        <w:rPr>
          <w:rFonts w:ascii="GHEA Grapalat" w:eastAsia="GHEA Grapalat" w:hAnsi="GHEA Grapalat" w:cs="GHEA Grapalat"/>
          <w:sz w:val="22"/>
          <w:szCs w:val="22"/>
        </w:rPr>
        <w:t xml:space="preserve"> մլն դոլար: Ընդ որում՝ գրանցվել է իրական ծավալների շուրջ </w:t>
      </w:r>
      <w:r>
        <w:rPr>
          <w:rFonts w:ascii="GHEA Grapalat" w:eastAsia="GHEA Grapalat" w:hAnsi="GHEA Grapalat" w:cs="GHEA Grapalat"/>
          <w:sz w:val="22"/>
          <w:szCs w:val="22"/>
        </w:rPr>
        <w:t>26.4</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նվազում</w:t>
      </w:r>
      <w:r w:rsidRPr="00345A1C">
        <w:rPr>
          <w:rFonts w:ascii="GHEA Grapalat" w:eastAsia="GHEA Grapalat" w:hAnsi="GHEA Grapalat" w:cs="GHEA Grapalat"/>
          <w:sz w:val="22"/>
          <w:szCs w:val="22"/>
        </w:rPr>
        <w:t xml:space="preserve">, իսկ ներմուծվող ապրանքների </w:t>
      </w:r>
      <w:r w:rsidR="005C71C6">
        <w:rPr>
          <w:rFonts w:ascii="GHEA Grapalat" w:eastAsia="GHEA Grapalat" w:hAnsi="GHEA Grapalat" w:cs="GHEA Grapalat"/>
          <w:sz w:val="22"/>
          <w:szCs w:val="22"/>
        </w:rPr>
        <w:t>գներն</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 xml:space="preserve">աճել </w:t>
      </w:r>
      <w:r w:rsidRPr="00345A1C">
        <w:rPr>
          <w:rFonts w:ascii="GHEA Grapalat" w:eastAsia="GHEA Grapalat" w:hAnsi="GHEA Grapalat" w:cs="GHEA Grapalat"/>
          <w:sz w:val="22"/>
          <w:szCs w:val="22"/>
        </w:rPr>
        <w:t xml:space="preserve">են </w:t>
      </w:r>
      <w:r>
        <w:rPr>
          <w:rFonts w:ascii="GHEA Grapalat" w:eastAsia="GHEA Grapalat" w:hAnsi="GHEA Grapalat" w:cs="GHEA Grapalat"/>
          <w:sz w:val="22"/>
          <w:szCs w:val="22"/>
        </w:rPr>
        <w:t>2.2</w:t>
      </w:r>
      <w:r w:rsidRPr="00AA04BB">
        <w:rPr>
          <w:rFonts w:ascii="GHEA Grapalat" w:eastAsia="GHEA Grapalat" w:hAnsi="GHEA Grapalat" w:cs="GHEA Grapalat"/>
          <w:sz w:val="22"/>
          <w:szCs w:val="22"/>
        </w:rPr>
        <w:t>%-</w:t>
      </w:r>
      <w:r>
        <w:rPr>
          <w:rFonts w:ascii="GHEA Grapalat" w:eastAsia="GHEA Grapalat" w:hAnsi="GHEA Grapalat" w:cs="GHEA Grapalat"/>
          <w:sz w:val="22"/>
          <w:szCs w:val="22"/>
        </w:rPr>
        <w:t>ով</w:t>
      </w:r>
      <w:r w:rsidRPr="00345A1C">
        <w:rPr>
          <w:rFonts w:ascii="GHEA Grapalat" w:eastAsia="GHEA Grapalat" w:hAnsi="GHEA Grapalat" w:cs="GHEA Grapalat"/>
          <w:sz w:val="22"/>
          <w:szCs w:val="22"/>
        </w:rPr>
        <w:t>:</w:t>
      </w:r>
    </w:p>
    <w:p w14:paraId="46534267" w14:textId="77777777" w:rsidR="00AD550E" w:rsidRPr="00345A1C" w:rsidRDefault="00AD550E" w:rsidP="00B33708">
      <w:pPr>
        <w:spacing w:line="276" w:lineRule="auto"/>
        <w:ind w:firstLine="567"/>
        <w:jc w:val="both"/>
        <w:rPr>
          <w:rFonts w:ascii="GHEA Grapalat" w:eastAsia="GHEA Grapalat" w:hAnsi="GHEA Grapalat" w:cs="GHEA Grapalat"/>
          <w:sz w:val="22"/>
          <w:szCs w:val="22"/>
        </w:rPr>
      </w:pPr>
    </w:p>
    <w:p w14:paraId="12CA89F3" w14:textId="77777777" w:rsidR="00AD550E" w:rsidRPr="00345A1C" w:rsidRDefault="00AD550E" w:rsidP="00AD550E">
      <w:pPr>
        <w:pStyle w:val="ab"/>
      </w:pPr>
      <w:r w:rsidRPr="00345A1C">
        <w:t>Գծապատկեր 2</w:t>
      </w:r>
      <w:r>
        <w:t>3</w:t>
      </w:r>
      <w:r w:rsidRPr="00345A1C">
        <w:t>. Ապրանքների ներմուծման ամսական միտումները</w:t>
      </w:r>
      <w:r>
        <w:t xml:space="preserve"> 2025</w:t>
      </w:r>
      <w:r w:rsidRPr="00345A1C">
        <w:t>թ,</w:t>
      </w:r>
      <w:r w:rsidRPr="00D874F0">
        <w:t xml:space="preserve"> </w:t>
      </w:r>
      <w:r w:rsidRPr="00345A1C">
        <w:t>%</w:t>
      </w:r>
    </w:p>
    <w:p w14:paraId="7DF62E2A" w14:textId="77777777" w:rsidR="00B33708" w:rsidRPr="00345A1C" w:rsidRDefault="00B33708" w:rsidP="00B33708">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inline distT="0" distB="0" distL="0" distR="0" wp14:anchorId="4B9DFE01" wp14:editId="07265305">
            <wp:extent cx="3181350" cy="2457450"/>
            <wp:effectExtent l="0" t="0" r="0" b="0"/>
            <wp:docPr id="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345A1C">
        <w:rPr>
          <w:rFonts w:ascii="GHEA Grapalat" w:eastAsia="GHEA Grapalat" w:hAnsi="GHEA Grapalat" w:cs="GHEA Grapalat"/>
          <w:sz w:val="22"/>
          <w:szCs w:val="22"/>
        </w:rPr>
        <w:t xml:space="preserve"> </w:t>
      </w:r>
      <w:r w:rsidRPr="00345A1C">
        <w:rPr>
          <w:rFonts w:ascii="GHEA Grapalat" w:eastAsia="Calibri" w:hAnsi="GHEA Grapalat"/>
          <w:i/>
          <w:sz w:val="22"/>
          <w:szCs w:val="22"/>
          <w:lang w:val="en-US"/>
        </w:rPr>
        <w:drawing>
          <wp:inline distT="0" distB="0" distL="0" distR="0" wp14:anchorId="644B9472" wp14:editId="428ACB01">
            <wp:extent cx="3181350" cy="2457450"/>
            <wp:effectExtent l="0" t="0" r="0" b="0"/>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856032E" w14:textId="77777777" w:rsidR="00B33708" w:rsidRPr="00345A1C" w:rsidRDefault="00B33708" w:rsidP="00AD550E">
      <w:pPr>
        <w:keepNext/>
        <w:rPr>
          <w:rFonts w:ascii="GHEA Grapalat" w:eastAsia="GHEA Grapalat" w:hAnsi="GHEA Grapalat" w:cs="GHEA Grapalat"/>
          <w:b/>
          <w:i/>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46C4FAB7" w14:textId="77777777" w:rsidR="00B33708" w:rsidRPr="00B33708" w:rsidRDefault="00B33708" w:rsidP="00B33708">
      <w:pPr>
        <w:spacing w:line="276" w:lineRule="auto"/>
        <w:ind w:firstLine="567"/>
        <w:jc w:val="both"/>
        <w:rPr>
          <w:rFonts w:ascii="GHEA Grapalat" w:eastAsia="GHEA Grapalat" w:hAnsi="GHEA Grapalat" w:cs="GHEA Grapalat"/>
          <w:sz w:val="22"/>
          <w:szCs w:val="22"/>
        </w:rPr>
      </w:pPr>
    </w:p>
    <w:p w14:paraId="0DD313C1" w14:textId="10DFFF65" w:rsidR="00B33708" w:rsidRPr="00B33708" w:rsidRDefault="00B33708" w:rsidP="00B33708">
      <w:pPr>
        <w:spacing w:line="276" w:lineRule="auto"/>
        <w:ind w:firstLine="567"/>
        <w:jc w:val="both"/>
        <w:rPr>
          <w:rFonts w:ascii="GHEA Grapalat" w:eastAsia="GHEA Grapalat" w:hAnsi="GHEA Grapalat" w:cs="GHEA Grapalat"/>
          <w:sz w:val="22"/>
          <w:szCs w:val="22"/>
        </w:rPr>
      </w:pPr>
      <w:r w:rsidRPr="00B33708">
        <w:rPr>
          <w:rFonts w:ascii="GHEA Grapalat" w:eastAsia="GHEA Grapalat" w:hAnsi="GHEA Grapalat" w:cs="GHEA Grapalat"/>
          <w:sz w:val="22"/>
          <w:szCs w:val="22"/>
        </w:rPr>
        <w:lastRenderedPageBreak/>
        <w:t>2025թ. ներմուծման</w:t>
      </w:r>
      <w:r w:rsidR="006D5E22" w:rsidRPr="00B06C86">
        <w:rPr>
          <w:rFonts w:ascii="GHEA Grapalat" w:eastAsia="GHEA Grapalat" w:hAnsi="GHEA Grapalat" w:cs="GHEA Grapalat"/>
          <w:sz w:val="22"/>
          <w:szCs w:val="22"/>
        </w:rPr>
        <w:t>՝</w:t>
      </w:r>
      <w:r w:rsidRPr="00B33708">
        <w:rPr>
          <w:rFonts w:ascii="GHEA Grapalat" w:eastAsia="GHEA Grapalat" w:hAnsi="GHEA Grapalat" w:cs="GHEA Grapalat"/>
          <w:sz w:val="22"/>
          <w:szCs w:val="22"/>
        </w:rPr>
        <w:t xml:space="preserve"> </w:t>
      </w:r>
      <w:bookmarkStart w:id="10" w:name="_Ref195200821"/>
      <w:r w:rsidRPr="00B33708">
        <w:rPr>
          <w:rFonts w:ascii="GHEA Grapalat" w:eastAsia="GHEA Grapalat" w:hAnsi="GHEA Grapalat" w:cs="GHEA Grapalat"/>
          <w:sz w:val="22"/>
          <w:szCs w:val="22"/>
        </w:rPr>
        <w:t>դոլարային արտահայտությամբ ծավալների նվազմանն ամենամեծ նպաստումն է ունեցել «Թանկարժեք և կիսաթանկարժեք քարեր, թանկարժեք մետաղներ և դրանցից իրեր» (</w:t>
      </w:r>
      <w:r w:rsidR="00B8199D" w:rsidRPr="00F564B2">
        <w:rPr>
          <w:rFonts w:ascii="GHEA Grapalat" w:eastAsia="GHEA Grapalat" w:hAnsi="GHEA Grapalat" w:cs="GHEA Grapalat"/>
          <w:sz w:val="22"/>
          <w:szCs w:val="22"/>
        </w:rPr>
        <w:t xml:space="preserve">12 </w:t>
      </w:r>
      <w:r w:rsidRPr="00B33708">
        <w:rPr>
          <w:rFonts w:ascii="GHEA Grapalat" w:eastAsia="GHEA Grapalat" w:hAnsi="GHEA Grapalat" w:cs="GHEA Grapalat"/>
          <w:sz w:val="22"/>
          <w:szCs w:val="22"/>
        </w:rPr>
        <w:t>տոկոսային կետ՝ վերաարտահանմամբ պայմանավորված) ապրանքախումբը</w:t>
      </w:r>
      <w:r w:rsidRPr="00B33708">
        <w:rPr>
          <w:rFonts w:ascii="GHEA Grapalat" w:eastAsia="GHEA Grapalat" w:hAnsi="GHEA Grapalat" w:cs="GHEA Grapalat"/>
          <w:sz w:val="22"/>
          <w:szCs w:val="22"/>
          <w:vertAlign w:val="superscript"/>
        </w:rPr>
        <w:footnoteReference w:id="13"/>
      </w:r>
      <w:bookmarkEnd w:id="10"/>
      <w:r w:rsidRPr="00B33708">
        <w:rPr>
          <w:rFonts w:ascii="GHEA Grapalat" w:eastAsia="GHEA Grapalat" w:hAnsi="GHEA Grapalat" w:cs="GHEA Grapalat"/>
          <w:sz w:val="22"/>
          <w:szCs w:val="22"/>
        </w:rPr>
        <w:t xml:space="preserve">։ </w:t>
      </w:r>
    </w:p>
    <w:p w14:paraId="75A97B59" w14:textId="1D06BDC2" w:rsidR="00B33708" w:rsidRPr="00B33708" w:rsidRDefault="00B33708" w:rsidP="00B33708">
      <w:pPr>
        <w:spacing w:line="276" w:lineRule="auto"/>
        <w:ind w:firstLine="567"/>
        <w:jc w:val="both"/>
        <w:rPr>
          <w:rFonts w:ascii="GHEA Grapalat" w:eastAsia="GHEA Grapalat" w:hAnsi="GHEA Grapalat" w:cs="GHEA Grapalat"/>
          <w:sz w:val="22"/>
          <w:szCs w:val="22"/>
        </w:rPr>
      </w:pPr>
      <w:r w:rsidRPr="00B33708">
        <w:rPr>
          <w:rFonts w:ascii="GHEA Grapalat" w:eastAsia="GHEA Grapalat" w:hAnsi="GHEA Grapalat" w:cs="GHEA Grapalat"/>
          <w:sz w:val="22"/>
          <w:szCs w:val="22"/>
        </w:rPr>
        <w:t xml:space="preserve">Ներմուծման նվազմանը հակազդել և դրական նպաստում </w:t>
      </w:r>
      <w:r w:rsidR="006D5E22">
        <w:rPr>
          <w:rFonts w:ascii="GHEA Grapalat" w:eastAsia="GHEA Grapalat" w:hAnsi="GHEA Grapalat" w:cs="GHEA Grapalat"/>
          <w:sz w:val="22"/>
          <w:szCs w:val="22"/>
        </w:rPr>
        <w:t>են</w:t>
      </w:r>
      <w:r w:rsidRPr="00B33708">
        <w:rPr>
          <w:rFonts w:ascii="GHEA Grapalat" w:eastAsia="GHEA Grapalat" w:hAnsi="GHEA Grapalat" w:cs="GHEA Grapalat"/>
          <w:sz w:val="22"/>
          <w:szCs w:val="22"/>
        </w:rPr>
        <w:t xml:space="preserve"> ունեցել «Պատրաստի սննդի արտադրանք» (1.3 տոկոսային կետով),</w:t>
      </w:r>
      <w:r w:rsidRPr="000C74AC">
        <w:rPr>
          <w:rFonts w:ascii="GHEA Grapalat" w:eastAsia="GHEA Grapalat" w:hAnsi="GHEA Grapalat" w:cs="GHEA Grapalat"/>
          <w:sz w:val="22"/>
          <w:szCs w:val="22"/>
        </w:rPr>
        <w:t xml:space="preserve"> </w:t>
      </w:r>
      <w:r w:rsidRPr="00A17C2E">
        <w:rPr>
          <w:rFonts w:ascii="GHEA Grapalat" w:eastAsia="GHEA Grapalat" w:hAnsi="GHEA Grapalat" w:cs="GHEA Grapalat"/>
          <w:sz w:val="22"/>
          <w:szCs w:val="22"/>
        </w:rPr>
        <w:t>Հանքահումքային արտադրանքն» (</w:t>
      </w:r>
      <w:r>
        <w:rPr>
          <w:rFonts w:ascii="GHEA Grapalat" w:eastAsia="GHEA Grapalat" w:hAnsi="GHEA Grapalat" w:cs="GHEA Grapalat"/>
          <w:sz w:val="22"/>
          <w:szCs w:val="22"/>
        </w:rPr>
        <w:t>0.5</w:t>
      </w:r>
      <w:r w:rsidRPr="00A17C2E">
        <w:rPr>
          <w:rFonts w:ascii="GHEA Grapalat" w:eastAsia="GHEA Grapalat" w:hAnsi="GHEA Grapalat" w:cs="GHEA Grapalat"/>
          <w:sz w:val="22"/>
          <w:szCs w:val="22"/>
        </w:rPr>
        <w:t xml:space="preserve"> տոկոսային կետով)</w:t>
      </w:r>
      <w:r w:rsidRPr="00B33708">
        <w:rPr>
          <w:rFonts w:ascii="GHEA Grapalat" w:eastAsia="GHEA Grapalat" w:hAnsi="GHEA Grapalat" w:cs="GHEA Grapalat"/>
          <w:sz w:val="22"/>
          <w:szCs w:val="22"/>
        </w:rPr>
        <w:t xml:space="preserve"> և «Վերգետնյա, օդային և ջրային տրանսպորտի միջոցներ» (0.5 տոկոսային կետով) ապրանքախմբերը։ </w:t>
      </w:r>
    </w:p>
    <w:p w14:paraId="01EDF3EE" w14:textId="5B67E53C" w:rsidR="00B33708" w:rsidRPr="00B33708" w:rsidRDefault="00B33708" w:rsidP="00B33708">
      <w:pPr>
        <w:spacing w:line="276" w:lineRule="auto"/>
        <w:ind w:firstLine="567"/>
        <w:jc w:val="both"/>
        <w:rPr>
          <w:rFonts w:ascii="GHEA Grapalat" w:eastAsia="GHEA Grapalat" w:hAnsi="GHEA Grapalat" w:cs="GHEA Grapalat"/>
          <w:sz w:val="22"/>
          <w:szCs w:val="22"/>
        </w:rPr>
      </w:pPr>
      <w:r w:rsidRPr="00B33708">
        <w:rPr>
          <w:rFonts w:ascii="GHEA Grapalat" w:eastAsia="GHEA Grapalat" w:hAnsi="GHEA Grapalat" w:cs="GHEA Grapalat"/>
          <w:sz w:val="22"/>
          <w:szCs w:val="22"/>
        </w:rPr>
        <w:t>Ըստ ապրանքների լայն տնտեսական դասակարգման՝ ներմուծման նվազմանը նպաստել են «Միջանկյալ սպառման ապրանքները» (25.</w:t>
      </w:r>
      <w:r w:rsidR="001B2CB6" w:rsidRPr="00F564B2">
        <w:rPr>
          <w:rFonts w:ascii="GHEA Grapalat" w:eastAsia="GHEA Grapalat" w:hAnsi="GHEA Grapalat" w:cs="GHEA Grapalat"/>
          <w:sz w:val="22"/>
          <w:szCs w:val="22"/>
        </w:rPr>
        <w:t>6</w:t>
      </w:r>
      <w:r w:rsidRPr="00B33708">
        <w:rPr>
          <w:rFonts w:ascii="GHEA Grapalat" w:eastAsia="GHEA Grapalat" w:hAnsi="GHEA Grapalat" w:cs="GHEA Grapalat"/>
          <w:sz w:val="22"/>
          <w:szCs w:val="22"/>
        </w:rPr>
        <w:t xml:space="preserve"> տոկոսային կետ, այդ թվում՝ արդյունաբերական մատակարարումները՝ 26 տոկոսային կետ), իսկ «Վերջնական սպառման ապրանքները», «Մարդատար ավտոմեքենաները» և «Կապիտալ ապրանքները» հակազդել են նվազմանը</w:t>
      </w:r>
      <w:r w:rsidR="006D5E22" w:rsidRPr="00B06C86">
        <w:rPr>
          <w:rFonts w:ascii="GHEA Grapalat" w:eastAsia="GHEA Grapalat" w:hAnsi="GHEA Grapalat" w:cs="GHEA Grapalat"/>
          <w:sz w:val="22"/>
          <w:szCs w:val="22"/>
        </w:rPr>
        <w:t>՝</w:t>
      </w:r>
      <w:r w:rsidRPr="00B33708">
        <w:rPr>
          <w:rFonts w:ascii="GHEA Grapalat" w:eastAsia="GHEA Grapalat" w:hAnsi="GHEA Grapalat" w:cs="GHEA Grapalat"/>
          <w:sz w:val="22"/>
          <w:szCs w:val="22"/>
        </w:rPr>
        <w:t xml:space="preserve"> </w:t>
      </w:r>
      <w:r w:rsidR="006D5E22">
        <w:rPr>
          <w:rFonts w:ascii="GHEA Grapalat" w:eastAsia="GHEA Grapalat" w:hAnsi="GHEA Grapalat" w:cs="GHEA Grapalat"/>
          <w:sz w:val="22"/>
          <w:szCs w:val="22"/>
        </w:rPr>
        <w:t>համապատասխանաբար</w:t>
      </w:r>
      <w:r w:rsidRPr="00B33708">
        <w:rPr>
          <w:rFonts w:ascii="GHEA Grapalat" w:eastAsia="GHEA Grapalat" w:hAnsi="GHEA Grapalat" w:cs="GHEA Grapalat"/>
          <w:sz w:val="22"/>
          <w:szCs w:val="22"/>
        </w:rPr>
        <w:t xml:space="preserve"> 0.7, 0.8 և 0.6 տոկոսային կետով</w:t>
      </w:r>
      <w:r w:rsidRPr="00AD550E">
        <w:rPr>
          <w:rFonts w:ascii="GHEA Grapalat" w:eastAsia="GHEA Grapalat" w:hAnsi="GHEA Grapalat" w:cs="GHEA Grapalat"/>
          <w:sz w:val="22"/>
          <w:szCs w:val="22"/>
          <w:vertAlign w:val="superscript"/>
        </w:rPr>
        <w:fldChar w:fldCharType="begin"/>
      </w:r>
      <w:r w:rsidRPr="00AD550E">
        <w:rPr>
          <w:rFonts w:ascii="GHEA Grapalat" w:eastAsia="GHEA Grapalat" w:hAnsi="GHEA Grapalat" w:cs="GHEA Grapalat"/>
          <w:sz w:val="22"/>
          <w:szCs w:val="22"/>
          <w:vertAlign w:val="superscript"/>
        </w:rPr>
        <w:instrText xml:space="preserve"> NOTEREF _Ref195200821 \h  \* MERGEFORMAT </w:instrText>
      </w:r>
      <w:r w:rsidRPr="00AD550E">
        <w:rPr>
          <w:rFonts w:ascii="GHEA Grapalat" w:eastAsia="GHEA Grapalat" w:hAnsi="GHEA Grapalat" w:cs="GHEA Grapalat"/>
          <w:sz w:val="22"/>
          <w:szCs w:val="22"/>
          <w:vertAlign w:val="superscript"/>
        </w:rPr>
      </w:r>
      <w:r w:rsidRPr="00AD550E">
        <w:rPr>
          <w:rFonts w:ascii="GHEA Grapalat" w:eastAsia="GHEA Grapalat" w:hAnsi="GHEA Grapalat" w:cs="GHEA Grapalat"/>
          <w:sz w:val="22"/>
          <w:szCs w:val="22"/>
          <w:vertAlign w:val="superscript"/>
        </w:rPr>
        <w:fldChar w:fldCharType="separate"/>
      </w:r>
      <w:r w:rsidRPr="00AD550E">
        <w:rPr>
          <w:rFonts w:ascii="GHEA Grapalat" w:eastAsia="GHEA Grapalat" w:hAnsi="GHEA Grapalat" w:cs="GHEA Grapalat"/>
          <w:sz w:val="22"/>
          <w:szCs w:val="22"/>
          <w:vertAlign w:val="superscript"/>
        </w:rPr>
        <w:t>13</w:t>
      </w:r>
      <w:r w:rsidRPr="00AD550E">
        <w:rPr>
          <w:rFonts w:ascii="GHEA Grapalat" w:eastAsia="GHEA Grapalat" w:hAnsi="GHEA Grapalat" w:cs="GHEA Grapalat"/>
          <w:sz w:val="22"/>
          <w:szCs w:val="22"/>
          <w:vertAlign w:val="superscript"/>
        </w:rPr>
        <w:fldChar w:fldCharType="end"/>
      </w:r>
      <w:r w:rsidRPr="00B33708">
        <w:rPr>
          <w:rFonts w:ascii="GHEA Grapalat" w:eastAsia="GHEA Grapalat" w:hAnsi="GHEA Grapalat" w:cs="GHEA Grapalat"/>
          <w:sz w:val="22"/>
          <w:szCs w:val="22"/>
        </w:rPr>
        <w:t xml:space="preserve">: </w:t>
      </w:r>
    </w:p>
    <w:p w14:paraId="20B3A8D6" w14:textId="5F7DC48E" w:rsidR="00B33708" w:rsidRPr="00CB48C9" w:rsidRDefault="00B33708" w:rsidP="00AD550E">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Արտաքին առևտուրն ըստ գործընկեր երկրների:</w:t>
      </w:r>
      <w:r w:rsidRPr="00345A1C">
        <w:rPr>
          <w:rFonts w:ascii="GHEA Grapalat" w:eastAsia="GHEA Grapalat" w:hAnsi="GHEA Grapalat" w:cs="GHEA Grapalat"/>
          <w:i/>
          <w:sz w:val="22"/>
          <w:szCs w:val="22"/>
        </w:rPr>
        <w:t xml:space="preserve"> </w:t>
      </w:r>
      <w:r>
        <w:rPr>
          <w:rFonts w:ascii="GHEA Grapalat" w:hAnsi="GHEA Grapalat"/>
          <w:sz w:val="22"/>
          <w:szCs w:val="22"/>
        </w:rPr>
        <w:t>2025</w:t>
      </w:r>
      <w:r w:rsidRPr="001C24AD">
        <w:rPr>
          <w:rFonts w:ascii="GHEA Grapalat" w:hAnsi="GHEA Grapalat"/>
          <w:sz w:val="22"/>
          <w:szCs w:val="22"/>
        </w:rPr>
        <w:t>թ. առևտրաշրջանառության աշխարհագրական կառուցվածքը նախորդ տարվա նկատմամբ որոշակի</w:t>
      </w:r>
      <w:r w:rsidR="006D5E22" w:rsidRPr="00B06C86">
        <w:rPr>
          <w:rFonts w:ascii="GHEA Grapalat" w:hAnsi="GHEA Grapalat"/>
          <w:sz w:val="22"/>
          <w:szCs w:val="22"/>
        </w:rPr>
        <w:t>որեն</w:t>
      </w:r>
      <w:r w:rsidRPr="001C24AD">
        <w:rPr>
          <w:rFonts w:ascii="GHEA Grapalat" w:hAnsi="GHEA Grapalat"/>
          <w:sz w:val="22"/>
          <w:szCs w:val="22"/>
        </w:rPr>
        <w:t xml:space="preserve"> փոփոխվել է։ </w:t>
      </w:r>
      <w:r w:rsidRPr="00CB48C9">
        <w:rPr>
          <w:rFonts w:ascii="GHEA Grapalat" w:hAnsi="GHEA Grapalat"/>
          <w:sz w:val="22"/>
          <w:szCs w:val="22"/>
        </w:rPr>
        <w:t xml:space="preserve">Արտաքին առևտրի կառուցվածքում այլ երկրների և ԵՄ երկրների դերը բարձրացել է, իսկ ԵԱՏՄ երկրների դերը՝ նվազել։ ՀՀ </w:t>
      </w:r>
      <w:r>
        <w:rPr>
          <w:rFonts w:ascii="GHEA Grapalat" w:hAnsi="GHEA Grapalat"/>
          <w:sz w:val="22"/>
          <w:szCs w:val="22"/>
        </w:rPr>
        <w:t>արտաքին առևտրաշրջանառության 38.5%-ը բաժին է ընկել ԱՊՀ (որից 37.5</w:t>
      </w:r>
      <w:r w:rsidR="006D5E22">
        <w:rPr>
          <w:rFonts w:ascii="GHEA Grapalat" w:hAnsi="GHEA Grapalat"/>
          <w:sz w:val="22"/>
          <w:szCs w:val="22"/>
        </w:rPr>
        <w:t xml:space="preserve"> </w:t>
      </w:r>
      <w:r w:rsidR="006D5E22" w:rsidRPr="00493BAB">
        <w:rPr>
          <w:rFonts w:ascii="GHEA Grapalat" w:hAnsi="GHEA Grapalat"/>
          <w:sz w:val="22"/>
          <w:szCs w:val="22"/>
        </w:rPr>
        <w:t>տոկոս</w:t>
      </w:r>
      <w:r>
        <w:rPr>
          <w:rFonts w:ascii="GHEA Grapalat" w:hAnsi="GHEA Grapalat"/>
          <w:sz w:val="22"/>
          <w:szCs w:val="22"/>
        </w:rPr>
        <w:t>ային կետը` ԵԱՏՄ), 11.7</w:t>
      </w:r>
      <w:r w:rsidRPr="00CB48C9">
        <w:rPr>
          <w:rFonts w:ascii="GHEA Grapalat" w:hAnsi="GHEA Grapalat"/>
          <w:sz w:val="22"/>
          <w:szCs w:val="22"/>
        </w:rPr>
        <w:t xml:space="preserve">%-ը` ԵՄ և </w:t>
      </w:r>
      <w:r>
        <w:rPr>
          <w:rFonts w:ascii="GHEA Grapalat" w:hAnsi="GHEA Grapalat"/>
          <w:sz w:val="22"/>
          <w:szCs w:val="22"/>
        </w:rPr>
        <w:t>49.9%-ը` այլ երկրներին (որից 12.3</w:t>
      </w:r>
      <w:r w:rsidR="006D5E22" w:rsidRPr="00493BAB">
        <w:rPr>
          <w:rFonts w:ascii="GHEA Grapalat" w:hAnsi="GHEA Grapalat"/>
          <w:sz w:val="22"/>
          <w:szCs w:val="22"/>
        </w:rPr>
        <w:t xml:space="preserve"> տոկոս</w:t>
      </w:r>
      <w:r w:rsidRPr="00CB48C9">
        <w:rPr>
          <w:rFonts w:ascii="GHEA Grapalat" w:hAnsi="GHEA Grapalat"/>
          <w:sz w:val="22"/>
          <w:szCs w:val="22"/>
        </w:rPr>
        <w:t>ային կետը` Չինաստան</w:t>
      </w:r>
      <w:r w:rsidR="006D5E22" w:rsidRPr="00493BAB">
        <w:rPr>
          <w:rFonts w:ascii="GHEA Grapalat" w:hAnsi="GHEA Grapalat"/>
          <w:sz w:val="22"/>
          <w:szCs w:val="22"/>
        </w:rPr>
        <w:t>ին</w:t>
      </w:r>
      <w:r w:rsidRPr="00CB48C9">
        <w:rPr>
          <w:rFonts w:ascii="GHEA Grapalat" w:hAnsi="GHEA Grapalat"/>
          <w:sz w:val="22"/>
          <w:szCs w:val="22"/>
        </w:rPr>
        <w:t xml:space="preserve">): ՀՀ արտաքին առևտրաշրջանառության մեջ նախորդ տարվա համեմատ այլ երկրների կշիռն ավելացել է </w:t>
      </w:r>
      <w:r>
        <w:rPr>
          <w:rFonts w:ascii="GHEA Grapalat" w:hAnsi="GHEA Grapalat"/>
          <w:sz w:val="22"/>
          <w:szCs w:val="22"/>
        </w:rPr>
        <w:t>0.4</w:t>
      </w:r>
      <w:r w:rsidRPr="00CB48C9">
        <w:rPr>
          <w:rFonts w:ascii="GHEA Grapalat" w:hAnsi="GHEA Grapalat"/>
          <w:sz w:val="22"/>
          <w:szCs w:val="22"/>
        </w:rPr>
        <w:t xml:space="preserve"> տոկոսային կետով և ԵՄ երկրների կշիռը՝ </w:t>
      </w:r>
      <w:r>
        <w:rPr>
          <w:rFonts w:ascii="GHEA Grapalat" w:hAnsi="GHEA Grapalat"/>
          <w:sz w:val="22"/>
          <w:szCs w:val="22"/>
        </w:rPr>
        <w:t>4</w:t>
      </w:r>
      <w:r w:rsidRPr="00CB48C9">
        <w:rPr>
          <w:rFonts w:ascii="GHEA Grapalat" w:hAnsi="GHEA Grapalat"/>
          <w:sz w:val="22"/>
          <w:szCs w:val="22"/>
        </w:rPr>
        <w:t xml:space="preserve"> տոկոսային կետով, իսկ ԱՊՀ երկ</w:t>
      </w:r>
      <w:r w:rsidR="00842BB9" w:rsidRPr="00493BAB">
        <w:rPr>
          <w:rFonts w:ascii="GHEA Grapalat" w:hAnsi="GHEA Grapalat"/>
          <w:sz w:val="22"/>
          <w:szCs w:val="22"/>
        </w:rPr>
        <w:t>ր</w:t>
      </w:r>
      <w:r w:rsidRPr="00CB48C9">
        <w:rPr>
          <w:rFonts w:ascii="GHEA Grapalat" w:hAnsi="GHEA Grapalat"/>
          <w:sz w:val="22"/>
          <w:szCs w:val="22"/>
        </w:rPr>
        <w:t xml:space="preserve">ների կշիռը նվազել է </w:t>
      </w:r>
      <w:r>
        <w:rPr>
          <w:rFonts w:ascii="GHEA Grapalat" w:hAnsi="GHEA Grapalat"/>
          <w:sz w:val="22"/>
          <w:szCs w:val="22"/>
        </w:rPr>
        <w:t>4.3</w:t>
      </w:r>
      <w:r w:rsidRPr="00CB48C9">
        <w:rPr>
          <w:rFonts w:ascii="GHEA Grapalat" w:hAnsi="GHEA Grapalat"/>
          <w:sz w:val="22"/>
          <w:szCs w:val="22"/>
        </w:rPr>
        <w:t xml:space="preserve"> տոկոսային կետով, ԵԱՏՄ-ն՝ </w:t>
      </w:r>
      <w:r>
        <w:rPr>
          <w:rFonts w:ascii="GHEA Grapalat" w:hAnsi="GHEA Grapalat"/>
          <w:sz w:val="22"/>
          <w:szCs w:val="22"/>
        </w:rPr>
        <w:t>4.8</w:t>
      </w:r>
      <w:r w:rsidRPr="00CB48C9">
        <w:rPr>
          <w:rFonts w:ascii="GHEA Grapalat" w:hAnsi="GHEA Grapalat"/>
          <w:sz w:val="22"/>
          <w:szCs w:val="22"/>
        </w:rPr>
        <w:t xml:space="preserve"> տոկոսային կետով (ՌԴ՝ </w:t>
      </w:r>
      <w:r>
        <w:rPr>
          <w:rFonts w:ascii="GHEA Grapalat" w:hAnsi="GHEA Grapalat"/>
          <w:sz w:val="22"/>
          <w:szCs w:val="22"/>
        </w:rPr>
        <w:t>5.3</w:t>
      </w:r>
      <w:r w:rsidRPr="00CB48C9">
        <w:rPr>
          <w:rFonts w:ascii="GHEA Grapalat" w:hAnsi="GHEA Grapalat"/>
          <w:sz w:val="22"/>
          <w:szCs w:val="22"/>
        </w:rPr>
        <w:t xml:space="preserve"> տոկոսային կետ</w:t>
      </w:r>
      <w:r w:rsidR="00842BB9" w:rsidRPr="00493BAB">
        <w:rPr>
          <w:rFonts w:ascii="GHEA Grapalat" w:hAnsi="GHEA Grapalat"/>
          <w:sz w:val="22"/>
          <w:szCs w:val="22"/>
        </w:rPr>
        <w:t>ով</w:t>
      </w:r>
      <w:r w:rsidRPr="00CB48C9">
        <w:rPr>
          <w:rFonts w:ascii="GHEA Grapalat" w:hAnsi="GHEA Grapalat"/>
          <w:sz w:val="22"/>
          <w:szCs w:val="22"/>
        </w:rPr>
        <w:t>, որը հիմնականում պայման</w:t>
      </w:r>
      <w:r w:rsidR="00842BB9" w:rsidRPr="00493BAB">
        <w:rPr>
          <w:rFonts w:ascii="GHEA Grapalat" w:hAnsi="GHEA Grapalat"/>
          <w:sz w:val="22"/>
          <w:szCs w:val="22"/>
        </w:rPr>
        <w:t>ա</w:t>
      </w:r>
      <w:r w:rsidRPr="00CB48C9">
        <w:rPr>
          <w:rFonts w:ascii="GHEA Grapalat" w:hAnsi="GHEA Grapalat"/>
          <w:sz w:val="22"/>
          <w:szCs w:val="22"/>
        </w:rPr>
        <w:t>վորված է վերաարտահանման կտրուկ նվազմամբ)։</w:t>
      </w:r>
    </w:p>
    <w:p w14:paraId="2760D623" w14:textId="77777777" w:rsidR="00B33708" w:rsidRDefault="00B33708" w:rsidP="00AD550E">
      <w:pPr>
        <w:spacing w:line="276" w:lineRule="auto"/>
        <w:ind w:firstLine="567"/>
        <w:jc w:val="both"/>
        <w:rPr>
          <w:rFonts w:ascii="GHEA Grapalat" w:hAnsi="GHEA Grapalat"/>
          <w:sz w:val="22"/>
          <w:szCs w:val="22"/>
        </w:rPr>
      </w:pPr>
      <w:r w:rsidRPr="00CB48C9">
        <w:rPr>
          <w:rFonts w:ascii="GHEA Grapalat" w:hAnsi="GHEA Grapalat"/>
          <w:sz w:val="22"/>
          <w:szCs w:val="22"/>
        </w:rPr>
        <w:t xml:space="preserve">ՀՀ խոշոր առևտրային գործընկեր ՌԴ-ի հետ առևտրաշրջանառության ծավալները հաշվետու տարում նվազել են </w:t>
      </w:r>
      <w:r>
        <w:rPr>
          <w:rFonts w:ascii="GHEA Grapalat" w:hAnsi="GHEA Grapalat"/>
          <w:sz w:val="22"/>
          <w:szCs w:val="22"/>
        </w:rPr>
        <w:t>38.3</w:t>
      </w:r>
      <w:r w:rsidRPr="00CB48C9">
        <w:rPr>
          <w:rFonts w:ascii="GHEA Grapalat" w:hAnsi="GHEA Grapalat"/>
          <w:sz w:val="22"/>
          <w:szCs w:val="22"/>
        </w:rPr>
        <w:t xml:space="preserve">%-ով, որին մեծ նպաստում է ունեցել ՌԴ-ից ներմուծման </w:t>
      </w:r>
      <w:r>
        <w:rPr>
          <w:rFonts w:ascii="GHEA Grapalat" w:hAnsi="GHEA Grapalat"/>
          <w:sz w:val="22"/>
          <w:szCs w:val="22"/>
        </w:rPr>
        <w:t>49.2</w:t>
      </w:r>
      <w:r w:rsidRPr="00CB48C9">
        <w:rPr>
          <w:rFonts w:ascii="GHEA Grapalat" w:hAnsi="GHEA Grapalat"/>
          <w:sz w:val="22"/>
          <w:szCs w:val="22"/>
        </w:rPr>
        <w:t xml:space="preserve">% անկումը (հիմնականում վերաարտահանման նպատակով ներմուծվող թանկարժեք մետաղների ծավալների նվազմամբ </w:t>
      </w:r>
      <w:r w:rsidRPr="00AD550E">
        <w:rPr>
          <w:rFonts w:ascii="GHEA Grapalat" w:eastAsia="GHEA Grapalat" w:hAnsi="GHEA Grapalat" w:cs="GHEA Grapalat"/>
          <w:sz w:val="22"/>
          <w:szCs w:val="22"/>
        </w:rPr>
        <w:t>պայմանավորված</w:t>
      </w:r>
      <w:r w:rsidRPr="00CB48C9">
        <w:rPr>
          <w:rFonts w:ascii="GHEA Grapalat" w:hAnsi="GHEA Grapalat"/>
          <w:sz w:val="22"/>
          <w:szCs w:val="22"/>
        </w:rPr>
        <w:t xml:space="preserve">): ՌԴ ապրանքների արտահանումը նույնպես ունեցել է բացասական նպաստում: 2025թ. ՀՀ խոշոր առևտրային գործընկերների շրջանակում ընդգրկված են Չինաստանը </w:t>
      </w:r>
      <w:r>
        <w:rPr>
          <w:rFonts w:ascii="GHEA Grapalat" w:hAnsi="GHEA Grapalat"/>
          <w:sz w:val="22"/>
          <w:szCs w:val="22"/>
        </w:rPr>
        <w:t>(12.3</w:t>
      </w:r>
      <w:r w:rsidRPr="00CB48C9">
        <w:rPr>
          <w:rFonts w:ascii="GHEA Grapalat" w:hAnsi="GHEA Grapalat"/>
          <w:sz w:val="22"/>
          <w:szCs w:val="22"/>
        </w:rPr>
        <w:t>%), ԱՄԷ (</w:t>
      </w:r>
      <w:r>
        <w:rPr>
          <w:rFonts w:ascii="GHEA Grapalat" w:hAnsi="GHEA Grapalat"/>
          <w:sz w:val="22"/>
          <w:szCs w:val="22"/>
        </w:rPr>
        <w:t>10%), Իրանը (3.6</w:t>
      </w:r>
      <w:r w:rsidRPr="00CB48C9">
        <w:rPr>
          <w:rFonts w:ascii="GHEA Grapalat" w:hAnsi="GHEA Grapalat"/>
          <w:sz w:val="22"/>
          <w:szCs w:val="22"/>
        </w:rPr>
        <w:t>%), Գերմանիան (2.</w:t>
      </w:r>
      <w:r>
        <w:rPr>
          <w:rFonts w:ascii="GHEA Grapalat" w:hAnsi="GHEA Grapalat"/>
          <w:sz w:val="22"/>
          <w:szCs w:val="22"/>
        </w:rPr>
        <w:t>2</w:t>
      </w:r>
      <w:r w:rsidRPr="00CB48C9">
        <w:rPr>
          <w:rFonts w:ascii="GHEA Grapalat" w:hAnsi="GHEA Grapalat"/>
          <w:sz w:val="22"/>
          <w:szCs w:val="22"/>
        </w:rPr>
        <w:t>%), Իտալիան (2.</w:t>
      </w:r>
      <w:r>
        <w:rPr>
          <w:rFonts w:ascii="GHEA Grapalat" w:hAnsi="GHEA Grapalat"/>
          <w:sz w:val="22"/>
          <w:szCs w:val="22"/>
        </w:rPr>
        <w:t>1%), ԱՄՆ-ն (1.6%), Իրաքը (1.6</w:t>
      </w:r>
      <w:r w:rsidRPr="00CB48C9">
        <w:rPr>
          <w:rFonts w:ascii="GHEA Grapalat" w:hAnsi="GHEA Grapalat"/>
          <w:sz w:val="22"/>
          <w:szCs w:val="22"/>
        </w:rPr>
        <w:t>%) և այլն:</w:t>
      </w:r>
    </w:p>
    <w:p w14:paraId="4903D6A1" w14:textId="6B32693E" w:rsidR="00B33708" w:rsidRPr="002F6723" w:rsidRDefault="00B33708" w:rsidP="00AD550E">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
          <w:i/>
          <w:sz w:val="22"/>
          <w:szCs w:val="22"/>
        </w:rPr>
        <w:t>Ծառայություններ:</w:t>
      </w:r>
      <w:r>
        <w:rPr>
          <w:rFonts w:ascii="GHEA Grapalat" w:eastAsia="GHEA Grapalat" w:hAnsi="GHEA Grapalat" w:cs="GHEA Grapalat"/>
          <w:b/>
          <w:sz w:val="22"/>
          <w:szCs w:val="22"/>
        </w:rPr>
        <w:t xml:space="preserve"> </w:t>
      </w:r>
      <w:r>
        <w:rPr>
          <w:rFonts w:ascii="GHEA Grapalat" w:eastAsia="GHEA Grapalat" w:hAnsi="GHEA Grapalat" w:cs="GHEA Grapalat"/>
          <w:bCs/>
          <w:sz w:val="22"/>
          <w:szCs w:val="22"/>
        </w:rPr>
        <w:t>2025</w:t>
      </w:r>
      <w:r w:rsidRPr="002F6723">
        <w:rPr>
          <w:rFonts w:ascii="GHEA Grapalat" w:eastAsia="GHEA Grapalat" w:hAnsi="GHEA Grapalat" w:cs="GHEA Grapalat"/>
          <w:bCs/>
          <w:sz w:val="22"/>
          <w:szCs w:val="22"/>
        </w:rPr>
        <w:t xml:space="preserve">թ. ծառայությունների </w:t>
      </w:r>
      <w:r w:rsidR="00842BB9">
        <w:rPr>
          <w:rFonts w:ascii="GHEA Grapalat" w:eastAsia="GHEA Grapalat" w:hAnsi="GHEA Grapalat" w:cs="GHEA Grapalat"/>
          <w:bCs/>
          <w:sz w:val="22"/>
          <w:szCs w:val="22"/>
        </w:rPr>
        <w:t>հաշվեկշիռն</w:t>
      </w:r>
      <w:r>
        <w:rPr>
          <w:rFonts w:ascii="GHEA Grapalat" w:eastAsia="GHEA Grapalat" w:hAnsi="GHEA Grapalat" w:cs="GHEA Grapalat"/>
          <w:bCs/>
          <w:sz w:val="22"/>
          <w:szCs w:val="22"/>
        </w:rPr>
        <w:t xml:space="preserve"> աննշան</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բարելավվել</w:t>
      </w:r>
      <w:r w:rsidRPr="00D874F0">
        <w:rPr>
          <w:rFonts w:ascii="GHEA Grapalat" w:eastAsia="GHEA Grapalat" w:hAnsi="GHEA Grapalat" w:cs="GHEA Grapalat"/>
          <w:bCs/>
          <w:sz w:val="22"/>
          <w:szCs w:val="22"/>
        </w:rPr>
        <w:t xml:space="preserve"> է</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2025</w:t>
      </w:r>
      <w:r w:rsidRPr="002F6723">
        <w:rPr>
          <w:rFonts w:ascii="GHEA Grapalat" w:eastAsia="GHEA Grapalat" w:hAnsi="GHEA Grapalat" w:cs="GHEA Grapalat"/>
          <w:bCs/>
          <w:sz w:val="22"/>
          <w:szCs w:val="22"/>
        </w:rPr>
        <w:t>թ. ծառայությունների արտահանում</w:t>
      </w:r>
      <w:r w:rsidR="00842BB9">
        <w:rPr>
          <w:rFonts w:ascii="GHEA Grapalat" w:eastAsia="GHEA Grapalat" w:hAnsi="GHEA Grapalat" w:cs="GHEA Grapalat"/>
          <w:bCs/>
          <w:sz w:val="22"/>
          <w:szCs w:val="22"/>
        </w:rPr>
        <w:t>ն</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աճ</w:t>
      </w:r>
      <w:r w:rsidRPr="002F6723">
        <w:rPr>
          <w:rFonts w:ascii="GHEA Grapalat" w:eastAsia="GHEA Grapalat" w:hAnsi="GHEA Grapalat" w:cs="GHEA Grapalat"/>
          <w:bCs/>
          <w:sz w:val="22"/>
          <w:szCs w:val="22"/>
        </w:rPr>
        <w:t>ել է</w:t>
      </w:r>
      <w:r>
        <w:rPr>
          <w:rFonts w:ascii="GHEA Grapalat" w:eastAsia="GHEA Grapalat" w:hAnsi="GHEA Grapalat" w:cs="GHEA Grapalat"/>
          <w:bCs/>
          <w:sz w:val="22"/>
          <w:szCs w:val="22"/>
        </w:rPr>
        <w:t xml:space="preserve"> 4.6</w:t>
      </w:r>
      <w:r w:rsidRPr="002F6723">
        <w:rPr>
          <w:rFonts w:ascii="GHEA Grapalat" w:eastAsia="GHEA Grapalat" w:hAnsi="GHEA Grapalat" w:cs="GHEA Grapalat"/>
          <w:bCs/>
          <w:sz w:val="22"/>
          <w:szCs w:val="22"/>
        </w:rPr>
        <w:t xml:space="preserve"> %-ով, իսկ </w:t>
      </w:r>
      <w:r>
        <w:rPr>
          <w:rFonts w:ascii="GHEA Grapalat" w:eastAsia="GHEA Grapalat" w:hAnsi="GHEA Grapalat" w:cs="GHEA Grapalat"/>
          <w:bCs/>
          <w:sz w:val="22"/>
          <w:szCs w:val="22"/>
        </w:rPr>
        <w:t>ներմուծումը՝</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5.9</w:t>
      </w:r>
      <w:r w:rsidRPr="002F6723">
        <w:rPr>
          <w:rFonts w:ascii="GHEA Grapalat" w:eastAsia="GHEA Grapalat" w:hAnsi="GHEA Grapalat" w:cs="GHEA Grapalat"/>
          <w:bCs/>
          <w:sz w:val="22"/>
          <w:szCs w:val="22"/>
        </w:rPr>
        <w:t xml:space="preserve">%-ով: Ծառայությունների արտահանման </w:t>
      </w:r>
      <w:r>
        <w:rPr>
          <w:rFonts w:ascii="GHEA Grapalat" w:eastAsia="GHEA Grapalat" w:hAnsi="GHEA Grapalat" w:cs="GHEA Grapalat"/>
          <w:bCs/>
          <w:sz w:val="22"/>
          <w:szCs w:val="22"/>
        </w:rPr>
        <w:t xml:space="preserve">աճին </w:t>
      </w:r>
      <w:r w:rsidRPr="00AD550E">
        <w:rPr>
          <w:rFonts w:ascii="GHEA Grapalat" w:eastAsia="GHEA Grapalat" w:hAnsi="GHEA Grapalat" w:cs="GHEA Grapalat"/>
          <w:sz w:val="22"/>
          <w:szCs w:val="22"/>
        </w:rPr>
        <w:t>հիմնականում</w:t>
      </w:r>
      <w:r w:rsidRPr="002F6723">
        <w:rPr>
          <w:rFonts w:ascii="GHEA Grapalat" w:eastAsia="GHEA Grapalat" w:hAnsi="GHEA Grapalat" w:cs="GHEA Grapalat"/>
          <w:bCs/>
          <w:sz w:val="22"/>
          <w:szCs w:val="22"/>
        </w:rPr>
        <w:t xml:space="preserve"> նպաստել </w:t>
      </w:r>
      <w:r w:rsidR="00842BB9" w:rsidRPr="00B06C86">
        <w:rPr>
          <w:rFonts w:ascii="GHEA Grapalat" w:eastAsia="GHEA Grapalat" w:hAnsi="GHEA Grapalat" w:cs="GHEA Grapalat"/>
          <w:bCs/>
          <w:sz w:val="22"/>
          <w:szCs w:val="22"/>
        </w:rPr>
        <w:t>են</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w:t>
      </w:r>
      <w:r w:rsidRPr="00780F7C">
        <w:rPr>
          <w:rFonts w:ascii="GHEA Grapalat" w:eastAsia="GHEA Grapalat" w:hAnsi="GHEA Grapalat" w:cs="GHEA Grapalat"/>
          <w:bCs/>
          <w:sz w:val="22"/>
          <w:szCs w:val="22"/>
        </w:rPr>
        <w:t>Հեռահաղորդակցության, համակարգչային և տեղեկատվական ծառայություններ</w:t>
      </w:r>
      <w:r>
        <w:rPr>
          <w:rFonts w:ascii="GHEA Grapalat" w:eastAsia="GHEA Grapalat" w:hAnsi="GHEA Grapalat" w:cs="GHEA Grapalat"/>
          <w:bCs/>
          <w:sz w:val="22"/>
          <w:szCs w:val="22"/>
        </w:rPr>
        <w:t>», «</w:t>
      </w:r>
      <w:r w:rsidRPr="00780F7C">
        <w:rPr>
          <w:rFonts w:ascii="GHEA Grapalat" w:eastAsia="GHEA Grapalat" w:hAnsi="GHEA Grapalat" w:cs="GHEA Grapalat"/>
          <w:bCs/>
          <w:sz w:val="22"/>
          <w:szCs w:val="22"/>
        </w:rPr>
        <w:t>Ճանապարհորդություն</w:t>
      </w:r>
      <w:r>
        <w:rPr>
          <w:rFonts w:ascii="GHEA Grapalat" w:eastAsia="GHEA Grapalat" w:hAnsi="GHEA Grapalat" w:cs="GHEA Grapalat"/>
          <w:bCs/>
          <w:sz w:val="22"/>
          <w:szCs w:val="22"/>
        </w:rPr>
        <w:t>» և «</w:t>
      </w:r>
      <w:r w:rsidRPr="00780F7C">
        <w:rPr>
          <w:rFonts w:ascii="GHEA Grapalat" w:eastAsia="GHEA Grapalat" w:hAnsi="GHEA Grapalat" w:cs="GHEA Grapalat"/>
          <w:bCs/>
          <w:sz w:val="22"/>
          <w:szCs w:val="22"/>
        </w:rPr>
        <w:t>Ֆինանսական ծառայություններ</w:t>
      </w:r>
      <w:r>
        <w:rPr>
          <w:rFonts w:ascii="GHEA Grapalat" w:eastAsia="GHEA Grapalat" w:hAnsi="GHEA Grapalat" w:cs="GHEA Grapalat"/>
          <w:bCs/>
          <w:sz w:val="22"/>
          <w:szCs w:val="22"/>
        </w:rPr>
        <w:t>» ծառայությունների աճերը</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11.1</w:t>
      </w:r>
      <w:r w:rsidRPr="002F6723">
        <w:rPr>
          <w:rFonts w:ascii="GHEA Grapalat" w:eastAsia="GHEA Grapalat" w:hAnsi="GHEA Grapalat" w:cs="GHEA Grapalat"/>
          <w:bCs/>
          <w:sz w:val="22"/>
          <w:szCs w:val="22"/>
        </w:rPr>
        <w:t xml:space="preserve"> տոկոսային կետ): Իսկ ներմուծման աճին ամենամեծ նպաստումն են ունեցել </w:t>
      </w:r>
      <w:r w:rsidRPr="00780F7C">
        <w:rPr>
          <w:rFonts w:ascii="GHEA Grapalat" w:eastAsia="GHEA Grapalat" w:hAnsi="GHEA Grapalat" w:cs="GHEA Grapalat"/>
          <w:bCs/>
          <w:sz w:val="22"/>
          <w:szCs w:val="22"/>
        </w:rPr>
        <w:t>Ճանապարհորդությ</w:t>
      </w:r>
      <w:r>
        <w:rPr>
          <w:rFonts w:ascii="GHEA Grapalat" w:eastAsia="GHEA Grapalat" w:hAnsi="GHEA Grapalat" w:cs="GHEA Grapalat"/>
          <w:bCs/>
          <w:sz w:val="22"/>
          <w:szCs w:val="22"/>
        </w:rPr>
        <w:t xml:space="preserve">ան և </w:t>
      </w:r>
      <w:r w:rsidRPr="00780F7C">
        <w:rPr>
          <w:rFonts w:ascii="GHEA Grapalat" w:eastAsia="GHEA Grapalat" w:hAnsi="GHEA Grapalat" w:cs="GHEA Grapalat"/>
          <w:bCs/>
          <w:sz w:val="22"/>
          <w:szCs w:val="22"/>
        </w:rPr>
        <w:t>Ֆինանսական ծառայություններ</w:t>
      </w:r>
      <w:r>
        <w:rPr>
          <w:rFonts w:ascii="GHEA Grapalat" w:eastAsia="GHEA Grapalat" w:hAnsi="GHEA Grapalat" w:cs="GHEA Grapalat"/>
          <w:bCs/>
          <w:sz w:val="22"/>
          <w:szCs w:val="22"/>
        </w:rPr>
        <w:t>ի աճերը</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6.2</w:t>
      </w:r>
      <w:r w:rsidRPr="002F6723">
        <w:rPr>
          <w:rFonts w:ascii="GHEA Grapalat" w:eastAsia="GHEA Grapalat" w:hAnsi="GHEA Grapalat" w:cs="GHEA Grapalat"/>
          <w:bCs/>
          <w:sz w:val="22"/>
          <w:szCs w:val="22"/>
        </w:rPr>
        <w:t xml:space="preserve"> տոկոսային կետ): </w:t>
      </w:r>
    </w:p>
    <w:p w14:paraId="334DB721" w14:textId="3EFB421E" w:rsidR="00B33708" w:rsidRPr="00345A1C" w:rsidRDefault="00B33708" w:rsidP="00B33708">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sz w:val="22"/>
          <w:szCs w:val="22"/>
        </w:rPr>
        <w:t>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ՀՀ այցելած զբոսաշրջիկների թիվը կազմել է շուրջ 2</w:t>
      </w:r>
      <w:r w:rsidRPr="00D874F0">
        <w:rPr>
          <w:rFonts w:ascii="GHEA Grapalat" w:eastAsia="GHEA Grapalat" w:hAnsi="GHEA Grapalat" w:cs="GHEA Grapalat"/>
          <w:sz w:val="22"/>
          <w:szCs w:val="22"/>
        </w:rPr>
        <w:t>,</w:t>
      </w:r>
      <w:r w:rsidRPr="00345A1C">
        <w:rPr>
          <w:rFonts w:ascii="GHEA Grapalat" w:eastAsia="GHEA Grapalat" w:hAnsi="GHEA Grapalat" w:cs="GHEA Grapalat"/>
          <w:sz w:val="22"/>
          <w:szCs w:val="22"/>
        </w:rPr>
        <w:t>2</w:t>
      </w:r>
      <w:r>
        <w:rPr>
          <w:rFonts w:ascii="GHEA Grapalat" w:eastAsia="GHEA Grapalat" w:hAnsi="GHEA Grapalat" w:cs="GHEA Grapalat"/>
          <w:sz w:val="22"/>
          <w:szCs w:val="22"/>
        </w:rPr>
        <w:t>64</w:t>
      </w:r>
      <w:r w:rsidRPr="00345A1C">
        <w:rPr>
          <w:rFonts w:ascii="GHEA Grapalat" w:eastAsia="GHEA Grapalat" w:hAnsi="GHEA Grapalat" w:cs="GHEA Grapalat"/>
          <w:sz w:val="22"/>
          <w:szCs w:val="22"/>
        </w:rPr>
        <w:t xml:space="preserve"> հազար մարդ՝ նախորդ տարվա համեմատ </w:t>
      </w:r>
      <w:r>
        <w:rPr>
          <w:rFonts w:ascii="GHEA Grapalat" w:eastAsia="GHEA Grapalat" w:hAnsi="GHEA Grapalat" w:cs="GHEA Grapalat"/>
          <w:sz w:val="22"/>
          <w:szCs w:val="22"/>
        </w:rPr>
        <w:t>աճ</w:t>
      </w:r>
      <w:r w:rsidRPr="00345A1C">
        <w:rPr>
          <w:rFonts w:ascii="GHEA Grapalat" w:eastAsia="GHEA Grapalat" w:hAnsi="GHEA Grapalat" w:cs="GHEA Grapalat"/>
          <w:sz w:val="22"/>
          <w:szCs w:val="22"/>
        </w:rPr>
        <w:t>ելով շուրջ</w:t>
      </w:r>
      <w:r>
        <w:rPr>
          <w:rFonts w:ascii="GHEA Grapalat" w:eastAsia="GHEA Grapalat" w:hAnsi="GHEA Grapalat" w:cs="GHEA Grapalat"/>
          <w:sz w:val="22"/>
          <w:szCs w:val="22"/>
        </w:rPr>
        <w:t xml:space="preserve"> 2.5</w:t>
      </w:r>
      <w:r w:rsidRPr="00345A1C">
        <w:rPr>
          <w:rFonts w:ascii="GHEA Grapalat" w:eastAsia="GHEA Grapalat" w:hAnsi="GHEA Grapalat" w:cs="GHEA Grapalat"/>
          <w:sz w:val="22"/>
          <w:szCs w:val="22"/>
        </w:rPr>
        <w:t xml:space="preserve">%-ով (շուրջ </w:t>
      </w:r>
      <w:r>
        <w:rPr>
          <w:rFonts w:ascii="GHEA Grapalat" w:eastAsia="GHEA Grapalat" w:hAnsi="GHEA Grapalat" w:cs="GHEA Grapalat"/>
          <w:sz w:val="22"/>
          <w:szCs w:val="22"/>
        </w:rPr>
        <w:t>55</w:t>
      </w:r>
      <w:r w:rsidRPr="00345A1C">
        <w:rPr>
          <w:rFonts w:ascii="GHEA Grapalat" w:eastAsia="GHEA Grapalat" w:hAnsi="GHEA Grapalat" w:cs="GHEA Grapalat"/>
          <w:sz w:val="22"/>
          <w:szCs w:val="22"/>
        </w:rPr>
        <w:t xml:space="preserve"> հազար մարդով), </w:t>
      </w:r>
      <w:r>
        <w:rPr>
          <w:rFonts w:ascii="GHEA Grapalat" w:eastAsia="GHEA Grapalat" w:hAnsi="GHEA Grapalat" w:cs="GHEA Grapalat"/>
          <w:sz w:val="22"/>
          <w:szCs w:val="22"/>
        </w:rPr>
        <w:t>որին</w:t>
      </w:r>
      <w:r w:rsidRPr="00345A1C">
        <w:rPr>
          <w:rFonts w:ascii="GHEA Grapalat" w:eastAsia="GHEA Grapalat" w:hAnsi="GHEA Grapalat" w:cs="GHEA Grapalat"/>
          <w:sz w:val="22"/>
          <w:szCs w:val="22"/>
        </w:rPr>
        <w:t xml:space="preserve"> հիմնականում </w:t>
      </w:r>
      <w:r>
        <w:rPr>
          <w:rFonts w:ascii="GHEA Grapalat" w:eastAsia="GHEA Grapalat" w:hAnsi="GHEA Grapalat" w:cs="GHEA Grapalat"/>
          <w:sz w:val="22"/>
          <w:szCs w:val="22"/>
        </w:rPr>
        <w:t xml:space="preserve">հակազդել է </w:t>
      </w:r>
      <w:r w:rsidRPr="00345A1C">
        <w:rPr>
          <w:rFonts w:ascii="GHEA Grapalat" w:eastAsia="GHEA Grapalat" w:hAnsi="GHEA Grapalat" w:cs="GHEA Grapalat"/>
          <w:sz w:val="22"/>
          <w:szCs w:val="22"/>
        </w:rPr>
        <w:t xml:space="preserve">ՀՀ այցելած ՌԴ զբոսաշրջիկների թվաքանակի </w:t>
      </w:r>
      <w:r>
        <w:rPr>
          <w:rFonts w:ascii="GHEA Grapalat" w:eastAsia="GHEA Grapalat" w:hAnsi="GHEA Grapalat" w:cs="GHEA Grapalat"/>
          <w:sz w:val="22"/>
          <w:szCs w:val="22"/>
        </w:rPr>
        <w:t>նվազումը</w:t>
      </w:r>
      <w:r w:rsidRPr="00345A1C">
        <w:rPr>
          <w:rFonts w:ascii="GHEA Grapalat" w:eastAsia="GHEA Grapalat" w:hAnsi="GHEA Grapalat" w:cs="GHEA Grapalat"/>
          <w:sz w:val="22"/>
          <w:szCs w:val="22"/>
        </w:rPr>
        <w:t xml:space="preserve"> (շուրջ </w:t>
      </w:r>
      <w:r>
        <w:rPr>
          <w:rFonts w:ascii="GHEA Grapalat" w:eastAsia="GHEA Grapalat" w:hAnsi="GHEA Grapalat" w:cs="GHEA Grapalat"/>
          <w:sz w:val="22"/>
          <w:szCs w:val="22"/>
        </w:rPr>
        <w:t>16</w:t>
      </w:r>
      <w:r w:rsidRPr="00345A1C">
        <w:rPr>
          <w:rFonts w:ascii="GHEA Grapalat" w:eastAsia="GHEA Grapalat" w:hAnsi="GHEA Grapalat" w:cs="GHEA Grapalat"/>
          <w:sz w:val="22"/>
          <w:szCs w:val="22"/>
        </w:rPr>
        <w:t xml:space="preserve"> հազար մարդով): Իսկ ՀՀ-ից մեկնած զբոսաշրջիկների թվաքանակը կազմել է շուրջ 1</w:t>
      </w:r>
      <w:r w:rsidRPr="00D874F0">
        <w:rPr>
          <w:rFonts w:ascii="GHEA Grapalat" w:eastAsia="GHEA Grapalat" w:hAnsi="GHEA Grapalat" w:cs="GHEA Grapalat"/>
          <w:sz w:val="22"/>
          <w:szCs w:val="22"/>
        </w:rPr>
        <w:t>,</w:t>
      </w:r>
      <w:r>
        <w:rPr>
          <w:rFonts w:ascii="GHEA Grapalat" w:eastAsia="GHEA Grapalat" w:hAnsi="GHEA Grapalat" w:cs="GHEA Grapalat"/>
          <w:sz w:val="22"/>
          <w:szCs w:val="22"/>
        </w:rPr>
        <w:t>726</w:t>
      </w:r>
      <w:r w:rsidRPr="00345A1C">
        <w:rPr>
          <w:rFonts w:ascii="GHEA Grapalat" w:eastAsia="GHEA Grapalat" w:hAnsi="GHEA Grapalat" w:cs="GHEA Grapalat"/>
          <w:sz w:val="22"/>
          <w:szCs w:val="22"/>
        </w:rPr>
        <w:t xml:space="preserve"> հազար՝ աճելով </w:t>
      </w:r>
      <w:r>
        <w:rPr>
          <w:rFonts w:ascii="GHEA Grapalat" w:eastAsia="GHEA Grapalat" w:hAnsi="GHEA Grapalat" w:cs="GHEA Grapalat"/>
          <w:sz w:val="22"/>
          <w:szCs w:val="22"/>
        </w:rPr>
        <w:t>2.8</w:t>
      </w:r>
      <w:r w:rsidRPr="00345A1C">
        <w:rPr>
          <w:rFonts w:ascii="GHEA Grapalat" w:eastAsia="GHEA Grapalat" w:hAnsi="GHEA Grapalat" w:cs="GHEA Grapalat"/>
          <w:sz w:val="22"/>
          <w:szCs w:val="22"/>
        </w:rPr>
        <w:t>%</w:t>
      </w:r>
      <w:r w:rsidRPr="00D874F0">
        <w:rPr>
          <w:rFonts w:ascii="GHEA Grapalat" w:eastAsia="GHEA Grapalat" w:hAnsi="GHEA Grapalat" w:cs="GHEA Grapalat"/>
          <w:sz w:val="22"/>
          <w:szCs w:val="22"/>
        </w:rPr>
        <w:t>-ով</w:t>
      </w:r>
      <w:r w:rsidRPr="00345A1C">
        <w:rPr>
          <w:rFonts w:ascii="GHEA Grapalat" w:eastAsia="GHEA Grapalat" w:hAnsi="GHEA Grapalat" w:cs="GHEA Grapalat"/>
          <w:sz w:val="22"/>
          <w:szCs w:val="22"/>
        </w:rPr>
        <w:t xml:space="preserve"> (շուրջ </w:t>
      </w:r>
      <w:r>
        <w:rPr>
          <w:rFonts w:ascii="GHEA Grapalat" w:eastAsia="GHEA Grapalat" w:hAnsi="GHEA Grapalat" w:cs="GHEA Grapalat"/>
          <w:sz w:val="22"/>
          <w:szCs w:val="22"/>
        </w:rPr>
        <w:t>46</w:t>
      </w:r>
      <w:r w:rsidRPr="00345A1C">
        <w:rPr>
          <w:rFonts w:ascii="GHEA Grapalat" w:eastAsia="GHEA Grapalat" w:hAnsi="GHEA Grapalat" w:cs="GHEA Grapalat"/>
          <w:sz w:val="22"/>
          <w:szCs w:val="22"/>
        </w:rPr>
        <w:t xml:space="preserve"> հազար մարդով):</w:t>
      </w:r>
      <w:r w:rsidRPr="00345A1C">
        <w:rPr>
          <w:rFonts w:ascii="GHEA Grapalat" w:hAnsi="GHEA Grapalat"/>
        </w:rPr>
        <w:t xml:space="preserve"> Ի</w:t>
      </w:r>
      <w:r w:rsidRPr="00345A1C">
        <w:rPr>
          <w:rFonts w:ascii="GHEA Grapalat" w:eastAsia="GHEA Grapalat" w:hAnsi="GHEA Grapalat" w:cs="GHEA Grapalat"/>
          <w:sz w:val="22"/>
          <w:szCs w:val="22"/>
        </w:rPr>
        <w:t>նչպես նախորդ տարի</w:t>
      </w:r>
      <w:r>
        <w:rPr>
          <w:rFonts w:ascii="GHEA Grapalat" w:eastAsia="GHEA Grapalat" w:hAnsi="GHEA Grapalat" w:cs="GHEA Grapalat"/>
          <w:sz w:val="22"/>
          <w:szCs w:val="22"/>
        </w:rPr>
        <w:t>,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նույնպես</w:t>
      </w:r>
      <w:r>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ՀՀ այցելած զբոսաշրջիկների թվաքանակը բարձր է</w:t>
      </w:r>
      <w:r>
        <w:rPr>
          <w:rFonts w:ascii="GHEA Grapalat" w:eastAsia="GHEA Grapalat" w:hAnsi="GHEA Grapalat" w:cs="GHEA Grapalat"/>
          <w:sz w:val="22"/>
          <w:szCs w:val="22"/>
        </w:rPr>
        <w:t xml:space="preserve"> 2019</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նախահամավարակային ժամանակաշրջանի մակարդակից</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Ս</w:t>
      </w:r>
      <w:r w:rsidRPr="00345A1C">
        <w:rPr>
          <w:rFonts w:ascii="GHEA Grapalat" w:eastAsia="GHEA Grapalat" w:hAnsi="GHEA Grapalat" w:cs="GHEA Grapalat"/>
          <w:sz w:val="22"/>
          <w:szCs w:val="22"/>
        </w:rPr>
        <w:t xml:space="preserve">ակայն </w:t>
      </w:r>
      <w:r>
        <w:rPr>
          <w:rFonts w:ascii="GHEA Grapalat" w:eastAsia="GHEA Grapalat" w:hAnsi="GHEA Grapalat" w:cs="GHEA Grapalat"/>
          <w:sz w:val="22"/>
          <w:szCs w:val="22"/>
        </w:rPr>
        <w:t>այլ երկ</w:t>
      </w:r>
      <w:r w:rsidR="0038050D" w:rsidRPr="00B06C86">
        <w:rPr>
          <w:rFonts w:ascii="GHEA Grapalat" w:eastAsia="GHEA Grapalat" w:hAnsi="GHEA Grapalat" w:cs="GHEA Grapalat"/>
          <w:sz w:val="22"/>
          <w:szCs w:val="22"/>
        </w:rPr>
        <w:t>ր</w:t>
      </w:r>
      <w:r>
        <w:rPr>
          <w:rFonts w:ascii="GHEA Grapalat" w:eastAsia="GHEA Grapalat" w:hAnsi="GHEA Grapalat" w:cs="GHEA Grapalat"/>
          <w:sz w:val="22"/>
          <w:szCs w:val="22"/>
        </w:rPr>
        <w:t xml:space="preserve">ներից </w:t>
      </w:r>
      <w:r>
        <w:rPr>
          <w:rFonts w:ascii="GHEA Grapalat" w:eastAsia="GHEA Grapalat" w:hAnsi="GHEA Grapalat" w:cs="GHEA Grapalat"/>
          <w:sz w:val="22"/>
          <w:szCs w:val="22"/>
        </w:rPr>
        <w:lastRenderedPageBreak/>
        <w:t xml:space="preserve">(առանց ՌԴ) </w:t>
      </w:r>
      <w:r w:rsidRPr="00345A1C">
        <w:rPr>
          <w:rFonts w:ascii="GHEA Grapalat" w:eastAsia="GHEA Grapalat" w:hAnsi="GHEA Grapalat" w:cs="GHEA Grapalat"/>
          <w:sz w:val="22"/>
          <w:szCs w:val="22"/>
        </w:rPr>
        <w:t>ՀՀ այցելած զբոսաշրջիկների թվաքանակը</w:t>
      </w:r>
      <w:r>
        <w:rPr>
          <w:rFonts w:ascii="GHEA Grapalat" w:eastAsia="GHEA Grapalat" w:hAnsi="GHEA Grapalat" w:cs="GHEA Grapalat"/>
          <w:sz w:val="22"/>
          <w:szCs w:val="22"/>
        </w:rPr>
        <w:t xml:space="preserve"> դեռ մնում է 2019թ.</w:t>
      </w:r>
      <w:r w:rsidRPr="0033577D">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նախահամավարակային ժամանակաշրջանի մակարդակից</w:t>
      </w:r>
      <w:r w:rsidRPr="00600CB1">
        <w:rPr>
          <w:rFonts w:ascii="GHEA Grapalat" w:eastAsia="GHEA Grapalat" w:hAnsi="GHEA Grapalat" w:cs="GHEA Grapalat"/>
          <w:sz w:val="22"/>
          <w:szCs w:val="22"/>
        </w:rPr>
        <w:t xml:space="preserve"> </w:t>
      </w:r>
      <w:r>
        <w:rPr>
          <w:rFonts w:ascii="GHEA Grapalat" w:eastAsia="GHEA Grapalat" w:hAnsi="GHEA Grapalat" w:cs="GHEA Grapalat"/>
          <w:sz w:val="22"/>
          <w:szCs w:val="22"/>
        </w:rPr>
        <w:t xml:space="preserve">ցածր </w:t>
      </w:r>
      <w:r w:rsidRPr="00600CB1">
        <w:rPr>
          <w:rFonts w:ascii="GHEA Grapalat" w:eastAsia="GHEA Grapalat" w:hAnsi="GHEA Grapalat" w:cs="GHEA Grapalat"/>
          <w:sz w:val="22"/>
          <w:szCs w:val="22"/>
        </w:rPr>
        <w:t>(տե՛ս Գծապատկեր 25</w:t>
      </w:r>
      <w:r w:rsidRPr="00345A1C">
        <w:rPr>
          <w:rFonts w:ascii="GHEA Grapalat" w:eastAsia="GHEA Grapalat" w:hAnsi="GHEA Grapalat" w:cs="GHEA Grapalat"/>
          <w:sz w:val="22"/>
          <w:szCs w:val="22"/>
        </w:rPr>
        <w:t xml:space="preserve">): </w:t>
      </w:r>
    </w:p>
    <w:p w14:paraId="47774242" w14:textId="77777777" w:rsidR="00B33708" w:rsidRPr="00345A1C" w:rsidRDefault="00B33708" w:rsidP="00B33708">
      <w:pPr>
        <w:spacing w:line="276" w:lineRule="auto"/>
        <w:ind w:firstLine="567"/>
        <w:jc w:val="both"/>
        <w:rPr>
          <w:rFonts w:ascii="GHEA Grapalat" w:eastAsia="GHEA Grapalat" w:hAnsi="GHEA Grapalat" w:cs="GHEA Grapalat"/>
          <w:sz w:val="22"/>
          <w:szCs w:val="22"/>
        </w:rPr>
      </w:pPr>
    </w:p>
    <w:p w14:paraId="4535AC94" w14:textId="77777777" w:rsidR="00B33708" w:rsidRPr="00345A1C" w:rsidRDefault="00B33708" w:rsidP="00AD550E">
      <w:pPr>
        <w:pStyle w:val="ab"/>
      </w:pPr>
      <w:r w:rsidRPr="00345A1C">
        <w:t>Գծապատկեր 2</w:t>
      </w:r>
      <w:r>
        <w:t>4</w:t>
      </w:r>
      <w:r w:rsidRPr="00345A1C">
        <w:t xml:space="preserve">. ՀՀ այցելած զբոսաշրջիկների դինամիկան 2019-2024թթ., հազար մարդ </w:t>
      </w:r>
    </w:p>
    <w:p w14:paraId="372A71FF" w14:textId="77777777" w:rsidR="00B33708" w:rsidRPr="00345A1C" w:rsidRDefault="00B33708" w:rsidP="00B33708">
      <w:pPr>
        <w:spacing w:line="276" w:lineRule="auto"/>
        <w:jc w:val="both"/>
        <w:rPr>
          <w:rFonts w:ascii="GHEA Grapalat" w:eastAsia="GHEA Grapalat" w:hAnsi="GHEA Grapalat" w:cs="GHEA Grapalat"/>
          <w:i/>
          <w:sz w:val="22"/>
          <w:szCs w:val="22"/>
        </w:rPr>
      </w:pPr>
      <w:r w:rsidRPr="00345A1C">
        <w:rPr>
          <w:rFonts w:ascii="GHEA Grapalat" w:eastAsia="GHEA Grapalat" w:hAnsi="GHEA Grapalat" w:cs="GHEA Grapalat"/>
          <w:i/>
          <w:sz w:val="22"/>
          <w:szCs w:val="22"/>
          <w:lang w:val="en-US"/>
        </w:rPr>
        <w:drawing>
          <wp:inline distT="0" distB="0" distL="0" distR="0" wp14:anchorId="619ACD49" wp14:editId="0AC26741">
            <wp:extent cx="6381750" cy="2352675"/>
            <wp:effectExtent l="0" t="0" r="0" b="9525"/>
            <wp:docPr id="31"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264215F" w14:textId="77777777" w:rsidR="00B33708" w:rsidRPr="00345A1C" w:rsidRDefault="00B33708" w:rsidP="00B33708">
      <w:pPr>
        <w:spacing w:line="276" w:lineRule="auto"/>
        <w:jc w:val="both"/>
        <w:rPr>
          <w:rFonts w:ascii="GHEA Grapalat" w:eastAsia="GHEA Grapalat" w:hAnsi="GHEA Grapalat" w:cs="GHEA Grapalat"/>
          <w:i/>
          <w:sz w:val="16"/>
          <w:szCs w:val="16"/>
        </w:rPr>
      </w:pPr>
      <w:r w:rsidRPr="00345A1C">
        <w:rPr>
          <w:rFonts w:ascii="GHEA Grapalat" w:eastAsia="GHEA Grapalat" w:hAnsi="GHEA Grapalat" w:cs="GHEA Grapalat"/>
          <w:i/>
          <w:sz w:val="16"/>
          <w:szCs w:val="16"/>
        </w:rPr>
        <w:t>Աղբյուրը՝ ՀՀ ՎԿ</w:t>
      </w:r>
    </w:p>
    <w:p w14:paraId="06611C45" w14:textId="77777777" w:rsidR="00B33708" w:rsidRPr="00AA283B" w:rsidRDefault="00B33708" w:rsidP="00B33708">
      <w:pPr>
        <w:spacing w:line="276" w:lineRule="auto"/>
        <w:ind w:firstLine="567"/>
        <w:jc w:val="both"/>
        <w:rPr>
          <w:rFonts w:ascii="GHEA Grapalat" w:eastAsia="GHEA Grapalat" w:hAnsi="GHEA Grapalat" w:cs="GHEA Grapalat"/>
          <w:sz w:val="22"/>
          <w:szCs w:val="22"/>
        </w:rPr>
      </w:pPr>
    </w:p>
    <w:p w14:paraId="56864620" w14:textId="09709F80" w:rsidR="00B33708" w:rsidRPr="00345A1C" w:rsidRDefault="00B33708" w:rsidP="00B33708">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b/>
          <w:i/>
          <w:sz w:val="22"/>
          <w:szCs w:val="22"/>
        </w:rPr>
        <w:t>Ոչ առևտրային բնույթի դ</w:t>
      </w:r>
      <w:r w:rsidRPr="00345A1C">
        <w:rPr>
          <w:rFonts w:ascii="GHEA Grapalat" w:eastAsia="GHEA Grapalat" w:hAnsi="GHEA Grapalat" w:cs="GHEA Grapalat"/>
          <w:b/>
          <w:i/>
          <w:sz w:val="22"/>
          <w:szCs w:val="22"/>
        </w:rPr>
        <w:t>րամական փոխանցումներ:</w:t>
      </w:r>
      <w:r>
        <w:rPr>
          <w:rFonts w:ascii="GHEA Grapalat" w:eastAsia="GHEA Grapalat" w:hAnsi="GHEA Grapalat" w:cs="GHEA Grapalat"/>
          <w:sz w:val="22"/>
          <w:szCs w:val="22"/>
        </w:rPr>
        <w:t xml:space="preserve">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դեպի </w:t>
      </w:r>
      <w:r w:rsidRPr="0033577D">
        <w:rPr>
          <w:rFonts w:ascii="GHEA Grapalat" w:eastAsia="GHEA Grapalat" w:hAnsi="GHEA Grapalat" w:cs="GHEA Grapalat"/>
          <w:sz w:val="22"/>
          <w:szCs w:val="22"/>
        </w:rPr>
        <w:t>ՀՀ ֆիզիկական անձանց ոչ առևտրային բնույթի դրամական փոխանցումների</w:t>
      </w:r>
      <w:r w:rsidRPr="00345A1C">
        <w:rPr>
          <w:rFonts w:ascii="GHEA Grapalat" w:eastAsia="GHEA Grapalat" w:hAnsi="GHEA Grapalat" w:cs="GHEA Grapalat"/>
          <w:sz w:val="22"/>
          <w:szCs w:val="22"/>
        </w:rPr>
        <w:t xml:space="preserve"> զուտ </w:t>
      </w:r>
      <w:r w:rsidR="0038050D">
        <w:rPr>
          <w:rFonts w:ascii="GHEA Grapalat" w:eastAsia="GHEA Grapalat" w:hAnsi="GHEA Grapalat" w:cs="GHEA Grapalat"/>
          <w:sz w:val="22"/>
          <w:szCs w:val="22"/>
        </w:rPr>
        <w:t>ներհոսքն</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աճել է</w:t>
      </w:r>
      <w:r w:rsidRPr="00345A1C">
        <w:rPr>
          <w:rFonts w:ascii="GHEA Grapalat" w:eastAsia="GHEA Grapalat" w:hAnsi="GHEA Grapalat" w:cs="GHEA Grapalat"/>
          <w:sz w:val="22"/>
          <w:szCs w:val="22"/>
        </w:rPr>
        <w:t>՝ պայմանավորված հիմնականում ՌԴ-ից դրամական փոխանցումների ներհոսքի աճով։</w:t>
      </w:r>
      <w:r>
        <w:rPr>
          <w:rFonts w:ascii="GHEA Grapalat" w:eastAsia="GHEA Grapalat" w:hAnsi="GHEA Grapalat" w:cs="GHEA Grapalat"/>
          <w:sz w:val="22"/>
          <w:szCs w:val="22"/>
        </w:rPr>
        <w:t xml:space="preserve">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դրամական փոխանցումների զուտ ներհոսքը կազմել </w:t>
      </w:r>
      <w:r w:rsidRPr="00D874F0">
        <w:rPr>
          <w:rFonts w:ascii="GHEA Grapalat" w:eastAsia="GHEA Grapalat" w:hAnsi="GHEA Grapalat" w:cs="GHEA Grapalat"/>
          <w:sz w:val="22"/>
          <w:szCs w:val="22"/>
        </w:rPr>
        <w:t>է</w:t>
      </w:r>
      <w:r w:rsidRPr="00345A1C">
        <w:rPr>
          <w:rFonts w:ascii="GHEA Grapalat" w:eastAsia="GHEA Grapalat" w:hAnsi="GHEA Grapalat" w:cs="GHEA Grapalat"/>
          <w:sz w:val="22"/>
          <w:szCs w:val="22"/>
        </w:rPr>
        <w:t xml:space="preserve"> շուրջ </w:t>
      </w:r>
      <w:r>
        <w:rPr>
          <w:rFonts w:ascii="GHEA Grapalat" w:eastAsia="GHEA Grapalat" w:hAnsi="GHEA Grapalat" w:cs="GHEA Grapalat"/>
          <w:sz w:val="22"/>
          <w:szCs w:val="22"/>
        </w:rPr>
        <w:t>714</w:t>
      </w:r>
      <w:r w:rsidRPr="00345A1C">
        <w:rPr>
          <w:rFonts w:ascii="GHEA Grapalat" w:eastAsia="GHEA Grapalat" w:hAnsi="GHEA Grapalat" w:cs="GHEA Grapalat"/>
          <w:sz w:val="22"/>
          <w:szCs w:val="22"/>
        </w:rPr>
        <w:t xml:space="preserve"> մլն դոլար՝ նախորդ տարվա նկատմամբ</w:t>
      </w:r>
      <w:r>
        <w:rPr>
          <w:rFonts w:ascii="GHEA Grapalat" w:eastAsia="GHEA Grapalat" w:hAnsi="GHEA Grapalat" w:cs="GHEA Grapalat"/>
          <w:sz w:val="22"/>
          <w:szCs w:val="22"/>
        </w:rPr>
        <w:t xml:space="preserve"> աճ</w:t>
      </w:r>
      <w:r w:rsidRPr="00345A1C">
        <w:rPr>
          <w:rFonts w:ascii="GHEA Grapalat" w:eastAsia="GHEA Grapalat" w:hAnsi="GHEA Grapalat" w:cs="GHEA Grapalat"/>
          <w:sz w:val="22"/>
          <w:szCs w:val="22"/>
        </w:rPr>
        <w:t xml:space="preserve">ելով </w:t>
      </w:r>
      <w:r>
        <w:rPr>
          <w:rFonts w:ascii="GHEA Grapalat" w:eastAsia="GHEA Grapalat" w:hAnsi="GHEA Grapalat" w:cs="GHEA Grapalat"/>
          <w:sz w:val="22"/>
          <w:szCs w:val="22"/>
        </w:rPr>
        <w:t>24.5</w:t>
      </w:r>
      <w:r w:rsidRPr="00345A1C">
        <w:rPr>
          <w:rFonts w:ascii="GHEA Grapalat" w:eastAsia="GHEA Grapalat" w:hAnsi="GHEA Grapalat" w:cs="GHEA Grapalat"/>
          <w:sz w:val="22"/>
          <w:szCs w:val="22"/>
        </w:rPr>
        <w:t>%-ով:</w:t>
      </w:r>
    </w:p>
    <w:p w14:paraId="783D2944" w14:textId="77777777" w:rsidR="00B33708" w:rsidRDefault="00B33708" w:rsidP="00AD550E">
      <w:pPr>
        <w:spacing w:line="276" w:lineRule="auto"/>
        <w:ind w:firstLine="567"/>
        <w:jc w:val="both"/>
        <w:rPr>
          <w:rFonts w:ascii="GHEA Grapalat" w:eastAsia="GHEA Grapalat" w:hAnsi="GHEA Grapalat" w:cs="GHEA Grapalat"/>
          <w:sz w:val="22"/>
          <w:szCs w:val="22"/>
        </w:rPr>
      </w:pPr>
    </w:p>
    <w:p w14:paraId="07FB0E92" w14:textId="77777777" w:rsidR="00B33708" w:rsidRPr="00665DCF" w:rsidRDefault="00B33708" w:rsidP="003D4531">
      <w:pPr>
        <w:pStyle w:val="Heading4"/>
        <w:numPr>
          <w:ilvl w:val="3"/>
          <w:numId w:val="10"/>
        </w:numPr>
        <w:ind w:left="567" w:firstLine="0"/>
        <w:rPr>
          <w:i w:val="0"/>
        </w:rPr>
      </w:pPr>
      <w:r w:rsidRPr="00665DCF">
        <w:rPr>
          <w:i w:val="0"/>
        </w:rPr>
        <w:t>Արժութային շուկա և փոխարժեքներ</w:t>
      </w:r>
    </w:p>
    <w:p w14:paraId="456A9FCD" w14:textId="604F6ACA" w:rsidR="00B33708" w:rsidRDefault="00B33708" w:rsidP="00AD550E">
      <w:pPr>
        <w:spacing w:line="276" w:lineRule="auto"/>
        <w:ind w:firstLine="567"/>
        <w:jc w:val="both"/>
        <w:rPr>
          <w:rFonts w:ascii="GHEA Grapalat" w:eastAsia="GHEA Grapalat" w:hAnsi="GHEA Grapalat" w:cs="GHEA Grapalat"/>
          <w:sz w:val="22"/>
          <w:szCs w:val="22"/>
        </w:rPr>
      </w:pPr>
      <w:r w:rsidRPr="00C87C8A">
        <w:rPr>
          <w:rFonts w:ascii="GHEA Grapalat" w:eastAsia="GHEA Grapalat" w:hAnsi="GHEA Grapalat" w:cs="GHEA Grapalat"/>
          <w:b/>
          <w:i/>
          <w:sz w:val="22"/>
          <w:szCs w:val="22"/>
        </w:rPr>
        <w:t>Ֆիզիկական անձանց փոխանցումներ։</w:t>
      </w:r>
      <w:r w:rsidRPr="00C87C8A">
        <w:rPr>
          <w:rFonts w:ascii="GHEA Grapalat" w:eastAsia="GHEA Grapalat" w:hAnsi="GHEA Grapalat" w:cs="GHEA Grapalat"/>
          <w:sz w:val="22"/>
          <w:szCs w:val="22"/>
        </w:rPr>
        <w:t xml:space="preserve"> Դեպի ՀՀ ֆիզիկական անձանց զուտ փոխանցումները 2025թ. դեռևս գտնվում են բարձր մակարդակում՝ ավելանալով 2024թ. ծավալների համեմատ։ ՀՀ բանկերի միջոցով ֆիզիկական անձանց անունով արտերկրներից մուտք եղած և ՀՀ</w:t>
      </w:r>
      <w:r w:rsidRPr="00C87C8A">
        <w:rPr>
          <w:rFonts w:ascii="GHEA Grapalat" w:eastAsia="GHEA Grapalat" w:hAnsi="GHEA Grapalat" w:cs="GHEA Grapalat"/>
          <w:sz w:val="22"/>
          <w:szCs w:val="22"/>
        </w:rPr>
        <w:noBreakHyphen/>
        <w:t>ից արտերկիր կատարված առևտրային և ոչ առևտրային նպատակով զուտ փոխանցումները 2025թ. կազմել են</w:t>
      </w:r>
      <w:r w:rsidR="00E009CD">
        <w:rPr>
          <w:rFonts w:ascii="GHEA Grapalat" w:eastAsia="GHEA Grapalat" w:hAnsi="GHEA Grapalat" w:cs="GHEA Grapalat"/>
          <w:sz w:val="22"/>
          <w:szCs w:val="22"/>
        </w:rPr>
        <w:t xml:space="preserve"> 1</w:t>
      </w:r>
      <w:r w:rsidR="00E009CD" w:rsidRPr="00B06C86">
        <w:rPr>
          <w:rFonts w:ascii="Calibri" w:eastAsia="GHEA Grapalat" w:hAnsi="Calibri" w:cs="Calibri"/>
          <w:sz w:val="22"/>
          <w:szCs w:val="22"/>
        </w:rPr>
        <w:t> </w:t>
      </w:r>
      <w:r w:rsidRPr="00C87C8A">
        <w:rPr>
          <w:rFonts w:ascii="GHEA Grapalat" w:eastAsia="GHEA Grapalat" w:hAnsi="GHEA Grapalat" w:cs="GHEA Grapalat"/>
          <w:sz w:val="22"/>
          <w:szCs w:val="22"/>
        </w:rPr>
        <w:t>մլրդ 640 մլն դոլար՝ 2024թ. 1 մլրդ 509 մլն դոլարի համեմատ աճելով 8</w:t>
      </w:r>
      <w:r w:rsidRPr="00C87C8A">
        <w:rPr>
          <w:rFonts w:ascii="Cambria Math" w:eastAsia="GHEA Grapalat" w:hAnsi="Cambria Math" w:cs="Cambria Math"/>
          <w:sz w:val="22"/>
          <w:szCs w:val="22"/>
        </w:rPr>
        <w:t>․</w:t>
      </w:r>
      <w:r w:rsidRPr="00C87C8A">
        <w:rPr>
          <w:rFonts w:ascii="GHEA Grapalat" w:eastAsia="GHEA Grapalat" w:hAnsi="GHEA Grapalat" w:cs="GHEA Grapalat"/>
          <w:sz w:val="22"/>
          <w:szCs w:val="22"/>
        </w:rPr>
        <w:t>6%-ով: Ընդ որում, ՌԴ-ից զուտ փոխանցումները 2024թ. կազմել են 3 մլրդ 128 մլն դոլար՝ նախորդ տարվա 3 մլրդ 133 մլն դոլարի համեմատ նվազելով շուրջ 0.2%-ով։ 2022թ. հունիսից սկիզբ առած՝ այլ երկրներ արտահոսքի ցուցանիշը գերազանցել է ներհոսքի ցուցանիշը՝ հանգեցնելով դեպի այլ երկրներ փոխանցումների բացասական զուտ ներհոսքի</w:t>
      </w:r>
      <w:r w:rsidR="00C87C8A">
        <w:rPr>
          <w:rFonts w:ascii="GHEA Grapalat" w:eastAsia="GHEA Grapalat" w:hAnsi="GHEA Grapalat" w:cs="GHEA Grapalat"/>
          <w:sz w:val="22"/>
          <w:szCs w:val="22"/>
        </w:rPr>
        <w:t>:</w:t>
      </w:r>
    </w:p>
    <w:p w14:paraId="20C11B7B" w14:textId="77777777" w:rsidR="00657EF0" w:rsidRPr="00C87C8A" w:rsidRDefault="00657EF0" w:rsidP="00AD550E">
      <w:pPr>
        <w:spacing w:line="276" w:lineRule="auto"/>
        <w:ind w:firstLine="567"/>
        <w:jc w:val="both"/>
        <w:rPr>
          <w:rFonts w:ascii="GHEA Grapalat" w:eastAsia="GHEA Grapalat" w:hAnsi="GHEA Grapalat" w:cs="GHEA Grapalat"/>
          <w:sz w:val="22"/>
          <w:szCs w:val="22"/>
        </w:rPr>
      </w:pPr>
    </w:p>
    <w:p w14:paraId="26814E1F" w14:textId="77777777" w:rsidR="00B33708" w:rsidRDefault="00B33708" w:rsidP="00AD550E">
      <w:pPr>
        <w:pStyle w:val="ab"/>
      </w:pPr>
      <w:r w:rsidRPr="00345A1C">
        <w:lastRenderedPageBreak/>
        <w:t>Գծապատկեր 2</w:t>
      </w:r>
      <w:r>
        <w:t>5</w:t>
      </w:r>
      <w:r w:rsidRPr="00345A1C">
        <w:t xml:space="preserve">. ՀՀ բանկերի միջոցով ֆիզիկական անձանց անունով արտերկրներից մուտք եղած և ՀՀ-ից ֆիզիկական անձանց կողմից արտերկիր կատարված զուտ փոխանցումներ, մլն ԱՄՆ դոլար </w:t>
      </w:r>
    </w:p>
    <w:p w14:paraId="499EBC26" w14:textId="0ACB07E5" w:rsidR="00B33708" w:rsidRDefault="00AF5AD2" w:rsidP="00AD550E">
      <w:pPr>
        <w:pStyle w:val="ab"/>
      </w:pPr>
      <w:r>
        <w:rPr>
          <w:noProof/>
          <w:lang w:val="en-US"/>
        </w:rPr>
        <w:drawing>
          <wp:inline distT="0" distB="0" distL="0" distR="0" wp14:anchorId="29FA8C4C" wp14:editId="5F1DD4A9">
            <wp:extent cx="5991225" cy="2652713"/>
            <wp:effectExtent l="0" t="0" r="9525" b="1460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5AC52B2" w14:textId="77777777" w:rsidR="00B33708" w:rsidRPr="00904F9A" w:rsidRDefault="00B33708" w:rsidP="00C87C8A">
      <w:pPr>
        <w:pStyle w:val="ListParagraph"/>
        <w:ind w:left="0"/>
        <w:jc w:val="both"/>
        <w:rPr>
          <w:rFonts w:ascii="GHEA Grapalat" w:eastAsia="GHEA Grapalat" w:hAnsi="GHEA Grapalat" w:cs="GHEA Grapalat"/>
          <w:b/>
          <w:i/>
          <w:sz w:val="16"/>
          <w:szCs w:val="16"/>
          <w:lang w:val="hy-AM"/>
        </w:rPr>
      </w:pPr>
      <w:r w:rsidRPr="00904F9A">
        <w:rPr>
          <w:rFonts w:ascii="GHEA Grapalat" w:hAnsi="GHEA Grapalat" w:cs="Sylfaen"/>
          <w:i/>
          <w:sz w:val="16"/>
          <w:szCs w:val="16"/>
          <w:lang w:val="hy-AM"/>
        </w:rPr>
        <w:t>Աղբյուրը՝ ՀՀ ԿԲ, ՀՀ ՖՆ հաշվարկներ</w:t>
      </w:r>
    </w:p>
    <w:p w14:paraId="6EED6196" w14:textId="77777777" w:rsidR="00B33708" w:rsidRPr="00657EF0" w:rsidRDefault="00B33708" w:rsidP="00657EF0">
      <w:pPr>
        <w:spacing w:line="276" w:lineRule="auto"/>
        <w:ind w:firstLine="567"/>
        <w:jc w:val="both"/>
        <w:rPr>
          <w:rFonts w:ascii="GHEA Grapalat" w:eastAsia="GHEA Grapalat" w:hAnsi="GHEA Grapalat" w:cs="GHEA Grapalat"/>
          <w:sz w:val="22"/>
          <w:szCs w:val="22"/>
        </w:rPr>
      </w:pPr>
    </w:p>
    <w:p w14:paraId="23C59920" w14:textId="2487A003" w:rsidR="00B33708" w:rsidRPr="00657EF0" w:rsidRDefault="00B33708" w:rsidP="00657EF0">
      <w:pPr>
        <w:spacing w:line="276" w:lineRule="auto"/>
        <w:ind w:firstLine="567"/>
        <w:jc w:val="both"/>
        <w:rPr>
          <w:rFonts w:ascii="GHEA Grapalat" w:eastAsia="GHEA Grapalat" w:hAnsi="GHEA Grapalat" w:cs="GHEA Grapalat"/>
          <w:sz w:val="22"/>
          <w:szCs w:val="22"/>
        </w:rPr>
      </w:pPr>
      <w:r w:rsidRPr="00657EF0">
        <w:rPr>
          <w:rFonts w:ascii="GHEA Grapalat" w:eastAsia="GHEA Grapalat" w:hAnsi="GHEA Grapalat" w:cs="GHEA Grapalat"/>
          <w:b/>
          <w:i/>
          <w:sz w:val="22"/>
          <w:szCs w:val="22"/>
        </w:rPr>
        <w:t>Արժութային շուկա։</w:t>
      </w:r>
      <w:r w:rsidRPr="00657EF0">
        <w:rPr>
          <w:rFonts w:ascii="GHEA Grapalat" w:eastAsia="GHEA Grapalat" w:hAnsi="GHEA Grapalat" w:cs="GHEA Grapalat"/>
          <w:sz w:val="22"/>
          <w:szCs w:val="22"/>
        </w:rPr>
        <w:t xml:space="preserve"> ՀՀ արժութային շուկայում դոլարի և եվրոյի շրջանառության ծավալները 2024թ. ծավալների համեմատ 2025թ. նվազել են, իսկ ռուբլու ծավալները՝ ավելացել։ Արժութային զուտ </w:t>
      </w:r>
      <w:r w:rsidR="004F7520">
        <w:rPr>
          <w:rFonts w:ascii="GHEA Grapalat" w:eastAsia="GHEA Grapalat" w:hAnsi="GHEA Grapalat" w:cs="GHEA Grapalat"/>
          <w:sz w:val="22"/>
          <w:szCs w:val="22"/>
        </w:rPr>
        <w:t>առքն</w:t>
      </w:r>
      <w:r w:rsidRPr="00657EF0">
        <w:rPr>
          <w:rFonts w:ascii="GHEA Grapalat" w:eastAsia="GHEA Grapalat" w:hAnsi="GHEA Grapalat" w:cs="GHEA Grapalat"/>
          <w:sz w:val="22"/>
          <w:szCs w:val="22"/>
        </w:rPr>
        <w:t xml:space="preserve"> էապես ավելացել է: Հաշվետու տարում</w:t>
      </w:r>
      <w:r w:rsidR="004F7520" w:rsidRPr="00B06C86">
        <w:rPr>
          <w:rFonts w:ascii="GHEA Grapalat" w:eastAsia="GHEA Grapalat" w:hAnsi="GHEA Grapalat" w:cs="GHEA Grapalat"/>
          <w:sz w:val="22"/>
          <w:szCs w:val="22"/>
        </w:rPr>
        <w:t>,</w:t>
      </w:r>
      <w:r w:rsidRPr="00657EF0">
        <w:rPr>
          <w:rFonts w:ascii="GHEA Grapalat" w:eastAsia="GHEA Grapalat" w:hAnsi="GHEA Grapalat" w:cs="GHEA Grapalat"/>
          <w:sz w:val="22"/>
          <w:szCs w:val="22"/>
        </w:rPr>
        <w:t xml:space="preserve"> բացի փետրվար ամսից</w:t>
      </w:r>
      <w:r w:rsidR="004F7520" w:rsidRPr="00B06C86">
        <w:rPr>
          <w:rFonts w:ascii="GHEA Grapalat" w:eastAsia="GHEA Grapalat" w:hAnsi="GHEA Grapalat" w:cs="GHEA Grapalat"/>
          <w:sz w:val="22"/>
          <w:szCs w:val="22"/>
        </w:rPr>
        <w:t>,</w:t>
      </w:r>
      <w:r w:rsidRPr="00657EF0">
        <w:rPr>
          <w:rFonts w:ascii="GHEA Grapalat" w:eastAsia="GHEA Grapalat" w:hAnsi="GHEA Grapalat" w:cs="GHEA Grapalat"/>
          <w:sz w:val="22"/>
          <w:szCs w:val="22"/>
        </w:rPr>
        <w:t xml:space="preserve"> արտարժույթի ներբանկային առքի ծավալները գերազանցել են վաճառքի ծավալները և հասել են գագաթնակետին 2025թ. հուլիսին՝ պայմանավորված ռուբլու առքով և դոլարի վաճառքով, այնուհետև ծավալները սկսել են կրճատվել և կտրուկ ավելացել</w:t>
      </w:r>
      <w:r w:rsidR="004F7520" w:rsidRPr="00B06C86">
        <w:rPr>
          <w:rFonts w:ascii="GHEA Grapalat" w:eastAsia="GHEA Grapalat" w:hAnsi="GHEA Grapalat" w:cs="GHEA Grapalat"/>
          <w:sz w:val="22"/>
          <w:szCs w:val="22"/>
        </w:rPr>
        <w:t xml:space="preserve"> են</w:t>
      </w:r>
      <w:r w:rsidRPr="00657EF0">
        <w:rPr>
          <w:rFonts w:ascii="GHEA Grapalat" w:eastAsia="GHEA Grapalat" w:hAnsi="GHEA Grapalat" w:cs="GHEA Grapalat"/>
          <w:sz w:val="22"/>
          <w:szCs w:val="22"/>
        </w:rPr>
        <w:t xml:space="preserve"> դեկտեմբեր ամսին։ </w:t>
      </w:r>
    </w:p>
    <w:p w14:paraId="6E902E2C" w14:textId="0BCB5D61" w:rsidR="00B33708" w:rsidRPr="00657EF0" w:rsidRDefault="00B33708" w:rsidP="00657EF0">
      <w:pPr>
        <w:spacing w:line="276" w:lineRule="auto"/>
        <w:ind w:firstLine="567"/>
        <w:jc w:val="both"/>
        <w:rPr>
          <w:rFonts w:ascii="GHEA Grapalat" w:eastAsia="GHEA Grapalat" w:hAnsi="GHEA Grapalat" w:cs="GHEA Grapalat"/>
          <w:sz w:val="22"/>
          <w:szCs w:val="22"/>
        </w:rPr>
      </w:pPr>
      <w:r w:rsidRPr="00657EF0">
        <w:rPr>
          <w:rFonts w:ascii="GHEA Grapalat" w:eastAsia="GHEA Grapalat" w:hAnsi="GHEA Grapalat" w:cs="GHEA Grapalat"/>
          <w:sz w:val="22"/>
          <w:szCs w:val="22"/>
        </w:rPr>
        <w:t>ՀՀ կենտրոնական բանկն արժութային շուկայում իրականացրել է միջամտություններ շուրջ 1796</w:t>
      </w:r>
      <w:r w:rsidRPr="00657EF0">
        <w:rPr>
          <w:rFonts w:ascii="Calibri" w:eastAsia="GHEA Grapalat" w:hAnsi="Calibri" w:cs="Calibri"/>
          <w:sz w:val="22"/>
          <w:szCs w:val="22"/>
        </w:rPr>
        <w:t> </w:t>
      </w:r>
      <w:r w:rsidRPr="00657EF0">
        <w:rPr>
          <w:rFonts w:ascii="GHEA Grapalat" w:eastAsia="GHEA Grapalat" w:hAnsi="GHEA Grapalat" w:cs="GHEA Grapalat"/>
          <w:sz w:val="22"/>
          <w:szCs w:val="22"/>
        </w:rPr>
        <w:t>մլն ԱՄՆ դոլարի չափով (զուտ առք)՝ ավելորդ տատանողականությունը չեզոքացնելու նպատակով։</w:t>
      </w:r>
    </w:p>
    <w:p w14:paraId="2C484E1D" w14:textId="6D4E2ADB" w:rsidR="00B33708" w:rsidRPr="00904F9A" w:rsidRDefault="00C87C8A" w:rsidP="00C87C8A">
      <w:pPr>
        <w:pStyle w:val="ListParagraph"/>
        <w:ind w:left="0" w:firstLine="570"/>
        <w:jc w:val="both"/>
        <w:rPr>
          <w:rFonts w:ascii="GHEA Grapalat" w:hAnsi="GHEA Grapalat"/>
          <w:lang w:val="hy-AM"/>
        </w:rPr>
      </w:pPr>
      <w:r w:rsidRPr="0069504E">
        <w:rPr>
          <w:rFonts w:ascii="GHEA Grapalat" w:hAnsi="GHEA Grapalat"/>
          <w:noProof/>
          <w:lang w:val="en-US" w:eastAsia="en-US"/>
        </w:rPr>
        <w:drawing>
          <wp:anchor distT="0" distB="0" distL="114300" distR="114300" simplePos="0" relativeHeight="251691520" behindDoc="0" locked="0" layoutInCell="1" allowOverlap="1" wp14:anchorId="188B115D" wp14:editId="015BBFC3">
            <wp:simplePos x="0" y="0"/>
            <wp:positionH relativeFrom="column">
              <wp:posOffset>-53340</wp:posOffset>
            </wp:positionH>
            <wp:positionV relativeFrom="paragraph">
              <wp:posOffset>876935</wp:posOffset>
            </wp:positionV>
            <wp:extent cx="3162300" cy="2324100"/>
            <wp:effectExtent l="0" t="0" r="0" b="0"/>
            <wp:wrapNone/>
            <wp:docPr id="74" name="Chart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tbl>
      <w:tblPr>
        <w:tblW w:w="5411" w:type="pct"/>
        <w:tblInd w:w="-142" w:type="dxa"/>
        <w:tblLook w:val="04A0" w:firstRow="1" w:lastRow="0" w:firstColumn="1" w:lastColumn="0" w:noHBand="0" w:noVBand="1"/>
      </w:tblPr>
      <w:tblGrid>
        <w:gridCol w:w="4677"/>
        <w:gridCol w:w="552"/>
        <w:gridCol w:w="5261"/>
        <w:gridCol w:w="557"/>
      </w:tblGrid>
      <w:tr w:rsidR="00B33708" w:rsidRPr="00345A1C" w14:paraId="3B7CC644" w14:textId="77777777" w:rsidTr="004F7520">
        <w:trPr>
          <w:gridAfter w:val="1"/>
          <w:wAfter w:w="253" w:type="pct"/>
          <w:trHeight w:val="701"/>
        </w:trPr>
        <w:tc>
          <w:tcPr>
            <w:tcW w:w="2117" w:type="pct"/>
          </w:tcPr>
          <w:p w14:paraId="6CE97963" w14:textId="77777777" w:rsidR="00B33708" w:rsidRPr="00345A1C" w:rsidRDefault="00B33708" w:rsidP="00AD550E">
            <w:pPr>
              <w:pStyle w:val="ab"/>
            </w:pPr>
            <w:r w:rsidRPr="00345A1C">
              <w:t>Գծապատկեր 2</w:t>
            </w:r>
            <w:r>
              <w:t>6</w:t>
            </w:r>
            <w:r w:rsidRPr="00345A1C">
              <w:t>.</w:t>
            </w:r>
            <w:r>
              <w:t xml:space="preserve"> </w:t>
            </w:r>
            <w:r w:rsidRPr="00345A1C">
              <w:t>ՀՀ արժութային (ներբանկային) շուկայի շրջանառության տվյալներն ըստ դրամային համարժեքների, մլրդ դրամ</w:t>
            </w:r>
          </w:p>
        </w:tc>
        <w:tc>
          <w:tcPr>
            <w:tcW w:w="2631" w:type="pct"/>
            <w:gridSpan w:val="2"/>
          </w:tcPr>
          <w:p w14:paraId="53E2B669" w14:textId="77777777" w:rsidR="00B33708" w:rsidRPr="00345A1C" w:rsidRDefault="00B33708" w:rsidP="005175C5">
            <w:pPr>
              <w:pStyle w:val="ab"/>
              <w:ind w:firstLine="312"/>
            </w:pPr>
            <w:r w:rsidRPr="00345A1C">
              <w:t>Գծապատկեր 2</w:t>
            </w:r>
            <w:r>
              <w:t>7</w:t>
            </w:r>
            <w:r w:rsidRPr="00345A1C">
              <w:t>.</w:t>
            </w:r>
            <w:r>
              <w:t xml:space="preserve"> </w:t>
            </w:r>
            <w:r w:rsidRPr="00345A1C">
              <w:t xml:space="preserve">Փոխարժեք և ՀՀ ԿԲ արձագանք </w:t>
            </w:r>
          </w:p>
        </w:tc>
      </w:tr>
      <w:tr w:rsidR="00B33708" w:rsidRPr="00345A1C" w14:paraId="39AA10FF" w14:textId="77777777" w:rsidTr="004F7520">
        <w:trPr>
          <w:trHeight w:val="3713"/>
        </w:trPr>
        <w:tc>
          <w:tcPr>
            <w:tcW w:w="2367" w:type="pct"/>
            <w:gridSpan w:val="2"/>
          </w:tcPr>
          <w:p w14:paraId="3CCEFCAA" w14:textId="77777777" w:rsidR="00B33708" w:rsidRPr="00345A1C" w:rsidRDefault="00B33708" w:rsidP="0026046A">
            <w:pPr>
              <w:spacing w:line="276" w:lineRule="auto"/>
              <w:jc w:val="both"/>
              <w:rPr>
                <w:rFonts w:ascii="GHEA Grapalat" w:eastAsia="GHEA Grapalat" w:hAnsi="GHEA Grapalat" w:cs="GHEA Grapalat"/>
                <w:sz w:val="22"/>
                <w:szCs w:val="22"/>
              </w:rPr>
            </w:pPr>
          </w:p>
        </w:tc>
        <w:tc>
          <w:tcPr>
            <w:tcW w:w="2633" w:type="pct"/>
            <w:gridSpan w:val="2"/>
          </w:tcPr>
          <w:p w14:paraId="6BBFD70D" w14:textId="77777777" w:rsidR="00B33708" w:rsidRPr="00345A1C" w:rsidRDefault="00B33708" w:rsidP="0026046A">
            <w:pPr>
              <w:spacing w:line="276" w:lineRule="auto"/>
              <w:jc w:val="both"/>
              <w:rPr>
                <w:rFonts w:ascii="GHEA Grapalat" w:eastAsia="GHEA Grapalat" w:hAnsi="GHEA Grapalat" w:cs="GHEA Grapalat"/>
                <w:color w:val="31849B" w:themeColor="accent5" w:themeShade="BF"/>
                <w:sz w:val="16"/>
                <w:szCs w:val="16"/>
              </w:rPr>
            </w:pPr>
            <w:r w:rsidRPr="00345A1C">
              <w:rPr>
                <w:rFonts w:ascii="GHEA Grapalat" w:hAnsi="GHEA Grapalat"/>
                <w:color w:val="31849B" w:themeColor="accent5" w:themeShade="BF"/>
                <w:sz w:val="16"/>
                <w:szCs w:val="16"/>
                <w:lang w:val="en-US"/>
              </w:rPr>
              <w:drawing>
                <wp:anchor distT="0" distB="0" distL="114300" distR="114300" simplePos="0" relativeHeight="251692544" behindDoc="0" locked="0" layoutInCell="1" allowOverlap="1" wp14:anchorId="51367D85" wp14:editId="7EC40279">
                  <wp:simplePos x="0" y="0"/>
                  <wp:positionH relativeFrom="page">
                    <wp:posOffset>-74930</wp:posOffset>
                  </wp:positionH>
                  <wp:positionV relativeFrom="paragraph">
                    <wp:posOffset>3175</wp:posOffset>
                  </wp:positionV>
                  <wp:extent cx="3390900" cy="2324100"/>
                  <wp:effectExtent l="0" t="0" r="0" b="0"/>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page">
                    <wp14:pctHeight>0</wp14:pctHeight>
                  </wp14:sizeRelV>
                </wp:anchor>
              </w:drawing>
            </w:r>
          </w:p>
        </w:tc>
      </w:tr>
      <w:tr w:rsidR="00B33708" w:rsidRPr="00345A1C" w14:paraId="6EF0818A" w14:textId="77777777" w:rsidTr="004F7520">
        <w:trPr>
          <w:trHeight w:val="306"/>
        </w:trPr>
        <w:tc>
          <w:tcPr>
            <w:tcW w:w="2367" w:type="pct"/>
            <w:gridSpan w:val="2"/>
          </w:tcPr>
          <w:p w14:paraId="4C5AE977" w14:textId="77777777" w:rsidR="00B33708" w:rsidRPr="00345A1C" w:rsidRDefault="00B33708" w:rsidP="0026046A">
            <w:pPr>
              <w:spacing w:line="276" w:lineRule="auto"/>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c>
          <w:tcPr>
            <w:tcW w:w="2633" w:type="pct"/>
            <w:gridSpan w:val="2"/>
          </w:tcPr>
          <w:p w14:paraId="56BB6A79" w14:textId="77777777" w:rsidR="00B33708" w:rsidRPr="00345A1C" w:rsidRDefault="00B33708" w:rsidP="005175C5">
            <w:pPr>
              <w:spacing w:line="276" w:lineRule="auto"/>
              <w:ind w:left="-87"/>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r>
    </w:tbl>
    <w:p w14:paraId="1BA68651" w14:textId="2C3AF823" w:rsidR="00B33708" w:rsidRPr="00904F9A" w:rsidRDefault="00B33708" w:rsidP="0069504E">
      <w:pPr>
        <w:pStyle w:val="ListParagraph"/>
        <w:ind w:left="0" w:firstLine="570"/>
        <w:jc w:val="both"/>
        <w:rPr>
          <w:rFonts w:ascii="GHEA Grapalat" w:eastAsia="GHEA Grapalat" w:hAnsi="GHEA Grapalat" w:cs="GHEA Grapalat"/>
          <w:lang w:val="hy-AM"/>
        </w:rPr>
      </w:pPr>
    </w:p>
    <w:p w14:paraId="5E7B9C94" w14:textId="77777777" w:rsidR="00B33708" w:rsidRPr="00904F9A" w:rsidRDefault="00B33708" w:rsidP="00136A16">
      <w:pPr>
        <w:pStyle w:val="ListParagraph"/>
        <w:ind w:left="0" w:firstLine="570"/>
        <w:jc w:val="both"/>
        <w:rPr>
          <w:rFonts w:ascii="GHEA Grapalat" w:eastAsia="GHEA Grapalat" w:hAnsi="GHEA Grapalat" w:cs="GHEA Grapalat"/>
          <w:bCs/>
          <w:lang w:val="hy-AM"/>
        </w:rPr>
      </w:pPr>
      <w:r w:rsidRPr="00904F9A">
        <w:rPr>
          <w:rFonts w:ascii="GHEA Grapalat" w:eastAsia="GHEA Grapalat" w:hAnsi="GHEA Grapalat" w:cs="GHEA Grapalat"/>
          <w:b/>
          <w:i/>
          <w:iCs/>
          <w:lang w:val="hy-AM"/>
        </w:rPr>
        <w:lastRenderedPageBreak/>
        <w:t>Երկկողմանի փոխարժեքներ։</w:t>
      </w:r>
      <w:r w:rsidRPr="00904F9A">
        <w:rPr>
          <w:rFonts w:ascii="GHEA Grapalat" w:eastAsia="GHEA Grapalat" w:hAnsi="GHEA Grapalat" w:cs="GHEA Grapalat"/>
          <w:b/>
          <w:lang w:val="hy-AM"/>
        </w:rPr>
        <w:t xml:space="preserve"> </w:t>
      </w:r>
      <w:r w:rsidRPr="00904F9A">
        <w:rPr>
          <w:rFonts w:ascii="GHEA Grapalat" w:eastAsia="GHEA Grapalat" w:hAnsi="GHEA Grapalat" w:cs="GHEA Grapalat"/>
          <w:bCs/>
          <w:lang w:val="hy-AM"/>
        </w:rPr>
        <w:t>Հաշվետու տարում ՀՀ դրամը ԱՄՆ դոլարի նկատմամբ միջինում արժևորվել է</w:t>
      </w:r>
      <w:r>
        <w:rPr>
          <w:rFonts w:ascii="GHEA Grapalat" w:eastAsia="GHEA Grapalat" w:hAnsi="GHEA Grapalat" w:cs="GHEA Grapalat"/>
          <w:bCs/>
          <w:lang w:val="hy-AM"/>
        </w:rPr>
        <w:t>՝</w:t>
      </w:r>
      <w:r w:rsidRPr="003A6844">
        <w:rPr>
          <w:rFonts w:ascii="GHEA Grapalat" w:eastAsia="GHEA Grapalat" w:hAnsi="GHEA Grapalat" w:cs="GHEA Grapalat"/>
          <w:bCs/>
          <w:lang w:val="hy-AM"/>
        </w:rPr>
        <w:t xml:space="preserve"> </w:t>
      </w:r>
      <w:r w:rsidRPr="00904F9A">
        <w:rPr>
          <w:rFonts w:ascii="GHEA Grapalat" w:eastAsia="GHEA Grapalat" w:hAnsi="GHEA Grapalat" w:cs="GHEA Grapalat"/>
          <w:bCs/>
          <w:lang w:val="hy-AM"/>
        </w:rPr>
        <w:t xml:space="preserve">պայմանավորված արտարժույթի ներհոսքի </w:t>
      </w:r>
      <w:r>
        <w:rPr>
          <w:rFonts w:ascii="GHEA Grapalat" w:eastAsia="GHEA Grapalat" w:hAnsi="GHEA Grapalat" w:cs="GHEA Grapalat"/>
          <w:bCs/>
          <w:lang w:val="hy-AM"/>
        </w:rPr>
        <w:t>ավելացմամբ</w:t>
      </w:r>
      <w:r w:rsidRPr="00904F9A">
        <w:rPr>
          <w:rFonts w:ascii="GHEA Grapalat" w:eastAsia="GHEA Grapalat" w:hAnsi="GHEA Grapalat" w:cs="GHEA Grapalat"/>
          <w:bCs/>
          <w:lang w:val="hy-AM"/>
        </w:rPr>
        <w:t xml:space="preserve">, իսկ ՌԴ ռուբլու և եվրոյի նկատմամբ </w:t>
      </w:r>
      <w:r w:rsidRPr="00136A16">
        <w:rPr>
          <w:rFonts w:ascii="GHEA Grapalat" w:eastAsia="GHEA Grapalat" w:hAnsi="GHEA Grapalat" w:cs="GHEA Grapalat"/>
          <w:lang w:val="hy-AM"/>
        </w:rPr>
        <w:t>արժեզրկվել</w:t>
      </w:r>
      <w:r w:rsidRPr="00904F9A">
        <w:rPr>
          <w:rFonts w:ascii="GHEA Grapalat" w:eastAsia="GHEA Grapalat" w:hAnsi="GHEA Grapalat" w:cs="GHEA Grapalat"/>
          <w:bCs/>
          <w:lang w:val="hy-AM"/>
        </w:rPr>
        <w:t xml:space="preserve"> է: ԱՄՆ դոլարի նկատմամբ արժևորումը կազմել է 1.5%, ռուբլու նկատմամբ դրամի </w:t>
      </w:r>
      <w:r w:rsidRPr="0069504E">
        <w:rPr>
          <w:rFonts w:ascii="GHEA Grapalat" w:hAnsi="GHEA Grapalat"/>
          <w:lang w:val="hy-AM"/>
        </w:rPr>
        <w:t>արժեզրկումը</w:t>
      </w:r>
      <w:r w:rsidRPr="00904F9A">
        <w:rPr>
          <w:rFonts w:ascii="GHEA Grapalat" w:eastAsia="GHEA Grapalat" w:hAnsi="GHEA Grapalat" w:cs="GHEA Grapalat"/>
          <w:bCs/>
          <w:lang w:val="hy-AM"/>
        </w:rPr>
        <w:t xml:space="preserve"> կազմել է 8.6%, եվրոյի նկատմամբ` 2</w:t>
      </w:r>
      <w:r w:rsidRPr="00904F9A">
        <w:rPr>
          <w:rFonts w:ascii="Cambria Math" w:eastAsia="GHEA Grapalat" w:hAnsi="Cambria Math" w:cs="Cambria Math"/>
          <w:bCs/>
          <w:lang w:val="hy-AM"/>
        </w:rPr>
        <w:t>․</w:t>
      </w:r>
      <w:r w:rsidRPr="00904F9A">
        <w:rPr>
          <w:rFonts w:ascii="GHEA Grapalat" w:eastAsia="GHEA Grapalat" w:hAnsi="GHEA Grapalat" w:cs="GHEA Grapalat"/>
          <w:bCs/>
          <w:lang w:val="hy-AM"/>
        </w:rPr>
        <w:t>7%։</w:t>
      </w:r>
    </w:p>
    <w:p w14:paraId="4732BAB9" w14:textId="77777777" w:rsidR="00B33708" w:rsidRPr="00904F9A" w:rsidRDefault="00B33708" w:rsidP="0069504E">
      <w:pPr>
        <w:pStyle w:val="ListParagraph"/>
        <w:ind w:left="0" w:firstLine="570"/>
        <w:jc w:val="both"/>
        <w:rPr>
          <w:rFonts w:ascii="GHEA Grapalat" w:hAnsi="GHEA Grapalat"/>
          <w:lang w:val="hy-AM"/>
        </w:rPr>
      </w:pPr>
      <w:r w:rsidRPr="00904F9A">
        <w:rPr>
          <w:rFonts w:ascii="GHEA Grapalat" w:eastAsia="GHEA Grapalat" w:hAnsi="GHEA Grapalat" w:cs="GHEA Grapalat"/>
          <w:bCs/>
          <w:lang w:val="hy-AM"/>
        </w:rPr>
        <w:t xml:space="preserve">Հաշվետու տարում ԱՄՆ դոլարի նկատմամբ ՀՀ դրամի ձևավորված միջին փոխարժեքը կազմել է 387 դրամ մեկ ԱՄՆ դոլարի դիմաց, և </w:t>
      </w:r>
      <w:r w:rsidRPr="00904F9A">
        <w:rPr>
          <w:rFonts w:ascii="GHEA Grapalat" w:hAnsi="GHEA Grapalat"/>
          <w:lang w:val="hy-AM"/>
        </w:rPr>
        <w:t>արժևորման առավելագույն արժեքը գրանցվել է 381.1 դրամ 2025թ</w:t>
      </w:r>
      <w:r w:rsidRPr="00904F9A">
        <w:rPr>
          <w:rFonts w:ascii="Cambria Math" w:hAnsi="Cambria Math" w:cs="Cambria Math"/>
          <w:lang w:val="hy-AM"/>
        </w:rPr>
        <w:t>․</w:t>
      </w:r>
      <w:r w:rsidRPr="00904F9A">
        <w:rPr>
          <w:rFonts w:ascii="GHEA Grapalat" w:hAnsi="GHEA Grapalat"/>
          <w:lang w:val="hy-AM"/>
        </w:rPr>
        <w:t xml:space="preserve"> նոյեմբերի 27-ին։ Դեկտեմբեր ամսին նախորդ տարվա դեկտեմբերի համեմատ ՀՀ դրամը ԱՄՆ դոլարի նկատմամբ արժևորվել է 3.9%-ով:</w:t>
      </w:r>
    </w:p>
    <w:p w14:paraId="003226B3" w14:textId="70CF489D" w:rsidR="00B33708" w:rsidRPr="00904F9A" w:rsidRDefault="00B33708" w:rsidP="0069504E">
      <w:pPr>
        <w:pStyle w:val="ListParagraph"/>
        <w:ind w:left="0" w:firstLine="570"/>
        <w:jc w:val="both"/>
        <w:rPr>
          <w:rFonts w:ascii="GHEA Grapalat" w:eastAsia="GHEA Grapalat" w:hAnsi="GHEA Grapalat" w:cs="GHEA Grapalat"/>
          <w:bCs/>
          <w:lang w:val="hy-AM"/>
        </w:rPr>
      </w:pPr>
      <w:r w:rsidRPr="00904F9A">
        <w:rPr>
          <w:rFonts w:ascii="GHEA Grapalat" w:hAnsi="GHEA Grapalat"/>
          <w:lang w:val="hy-AM"/>
        </w:rPr>
        <w:t>Ե</w:t>
      </w:r>
      <w:r w:rsidRPr="00904F9A">
        <w:rPr>
          <w:rFonts w:ascii="GHEA Grapalat" w:eastAsia="GHEA Grapalat" w:hAnsi="GHEA Grapalat" w:cs="GHEA Grapalat"/>
          <w:bCs/>
          <w:lang w:val="hy-AM"/>
        </w:rPr>
        <w:t xml:space="preserve">վրոյի նկատմամբ ձևավորված միջին փոխարժեքը կազմել է 436.9 դրամ մեկ եվրոյի դիմաց, իսկ </w:t>
      </w:r>
      <w:r w:rsidRPr="00904F9A">
        <w:rPr>
          <w:rFonts w:ascii="GHEA Grapalat" w:hAnsi="GHEA Grapalat"/>
          <w:lang w:val="hy-AM"/>
        </w:rPr>
        <w:t>դեկտեմբեր ամսին նախորդ տարվա դեկտեմբերի համեմատ ՀՀ դրամը եվրոյի նկատմամբ արժեզրվել է 7</w:t>
      </w:r>
      <w:r w:rsidRPr="00904F9A">
        <w:rPr>
          <w:rFonts w:ascii="Cambria Math" w:hAnsi="Cambria Math" w:cs="Cambria Math"/>
          <w:lang w:val="hy-AM"/>
        </w:rPr>
        <w:t>․</w:t>
      </w:r>
      <w:r w:rsidRPr="00904F9A">
        <w:rPr>
          <w:rFonts w:ascii="GHEA Grapalat" w:hAnsi="GHEA Grapalat"/>
          <w:lang w:val="hy-AM"/>
        </w:rPr>
        <w:t>1%-ով։</w:t>
      </w:r>
    </w:p>
    <w:p w14:paraId="1F034C30" w14:textId="0DE30D4D" w:rsidR="00B33708" w:rsidRDefault="00B33708" w:rsidP="0069504E">
      <w:pPr>
        <w:pStyle w:val="ListParagraph"/>
        <w:spacing w:after="0"/>
        <w:ind w:left="0" w:firstLine="570"/>
        <w:jc w:val="both"/>
        <w:rPr>
          <w:rFonts w:ascii="GHEA Grapalat" w:hAnsi="GHEA Grapalat"/>
          <w:lang w:val="hy-AM"/>
        </w:rPr>
      </w:pPr>
      <w:r w:rsidRPr="00904F9A">
        <w:rPr>
          <w:rFonts w:ascii="GHEA Grapalat" w:hAnsi="GHEA Grapalat"/>
          <w:lang w:val="hy-AM"/>
        </w:rPr>
        <w:t>ՀՀ դրամի միջին փոխարժեքը ՌԴ ռուբլու նկատմամբ 2025թ. նախորդ տարվա համեմատությամբ արժեզր</w:t>
      </w:r>
      <w:r>
        <w:rPr>
          <w:rFonts w:ascii="GHEA Grapalat" w:hAnsi="GHEA Grapalat"/>
          <w:lang w:val="hy-AM"/>
        </w:rPr>
        <w:t>կ</w:t>
      </w:r>
      <w:r w:rsidRPr="00904F9A">
        <w:rPr>
          <w:rFonts w:ascii="GHEA Grapalat" w:hAnsi="GHEA Grapalat"/>
          <w:lang w:val="hy-AM"/>
        </w:rPr>
        <w:t>վել է 8.6%-ով, իսկ դեկտեմբեր ամսին նախորդ տարվա դեկտեմբերի համեմատ արժեզրկվել է 20.7%-ով:</w:t>
      </w:r>
    </w:p>
    <w:p w14:paraId="32E1A514" w14:textId="77777777" w:rsidR="00DF362C" w:rsidRPr="00904F9A" w:rsidRDefault="00DF362C" w:rsidP="0069504E">
      <w:pPr>
        <w:pStyle w:val="ListParagraph"/>
        <w:spacing w:after="0"/>
        <w:ind w:left="0" w:firstLine="570"/>
        <w:jc w:val="both"/>
        <w:rPr>
          <w:rFonts w:ascii="GHEA Grapalat" w:hAnsi="GHEA Grapalat"/>
          <w:lang w:val="hy-AM"/>
        </w:rPr>
      </w:pPr>
    </w:p>
    <w:tbl>
      <w:tblPr>
        <w:tblW w:w="5201" w:type="pct"/>
        <w:tblLook w:val="04A0" w:firstRow="1" w:lastRow="0" w:firstColumn="1" w:lastColumn="0" w:noHBand="0" w:noVBand="1"/>
      </w:tblPr>
      <w:tblGrid>
        <w:gridCol w:w="5388"/>
        <w:gridCol w:w="5230"/>
      </w:tblGrid>
      <w:tr w:rsidR="00B33708" w:rsidRPr="00345A1C" w14:paraId="51A6CAC8" w14:textId="77777777" w:rsidTr="0026046A">
        <w:trPr>
          <w:trHeight w:val="701"/>
        </w:trPr>
        <w:tc>
          <w:tcPr>
            <w:tcW w:w="2537" w:type="pct"/>
          </w:tcPr>
          <w:p w14:paraId="5C8E98E4" w14:textId="77777777" w:rsidR="00B33708" w:rsidRPr="00345A1C" w:rsidRDefault="00B33708" w:rsidP="00AD550E">
            <w:pPr>
              <w:pStyle w:val="ab"/>
            </w:pPr>
            <w:r w:rsidRPr="00345A1C">
              <w:t>Գծապատկեր 2</w:t>
            </w:r>
            <w:r>
              <w:t>8</w:t>
            </w:r>
            <w:r w:rsidRPr="00345A1C">
              <w:t>. ՀՀ դրամի անվանական փոխարժեքի ամսական դինամիկան հիմնական արժույթների նկատմամբ (բարձրացումը՝ դրամի արժեզրկում), ՀՀ դրամ</w:t>
            </w:r>
          </w:p>
        </w:tc>
        <w:tc>
          <w:tcPr>
            <w:tcW w:w="2463" w:type="pct"/>
          </w:tcPr>
          <w:p w14:paraId="658C47AE" w14:textId="77777777" w:rsidR="00B33708" w:rsidRPr="00345A1C" w:rsidRDefault="00B33708" w:rsidP="00AD550E">
            <w:pPr>
              <w:pStyle w:val="ab"/>
            </w:pPr>
            <w:r w:rsidRPr="00345A1C">
              <w:t xml:space="preserve">Գծապատկեր </w:t>
            </w:r>
            <w:r>
              <w:t>29</w:t>
            </w:r>
            <w:r w:rsidRPr="00345A1C">
              <w:t>. ՀՀ իրական և անվանական արդյունավետ փոխարժեքների դինամիկան</w:t>
            </w:r>
            <w:r>
              <w:t>, 2021</w:t>
            </w:r>
            <w:r w:rsidRPr="00345A1C">
              <w:t>=100 (աճ՝ արժևորում),%</w:t>
            </w:r>
          </w:p>
        </w:tc>
      </w:tr>
      <w:tr w:rsidR="00B33708" w:rsidRPr="00345A1C" w14:paraId="35764E8C" w14:textId="77777777" w:rsidTr="0026046A">
        <w:trPr>
          <w:trHeight w:val="3860"/>
        </w:trPr>
        <w:tc>
          <w:tcPr>
            <w:tcW w:w="2537" w:type="pct"/>
          </w:tcPr>
          <w:p w14:paraId="06BE3C11" w14:textId="77777777" w:rsidR="00B33708" w:rsidRPr="00BC2C75" w:rsidRDefault="00B33708" w:rsidP="0026046A">
            <w:pPr>
              <w:spacing w:line="276" w:lineRule="auto"/>
              <w:jc w:val="both"/>
              <w:rPr>
                <w:rFonts w:ascii="GHEA Grapalat" w:eastAsia="GHEA Grapalat" w:hAnsi="GHEA Grapalat" w:cs="GHEA Grapalat"/>
                <w:szCs w:val="22"/>
              </w:rPr>
            </w:pPr>
            <w:r w:rsidRPr="00BC2C75">
              <w:rPr>
                <w:rFonts w:ascii="GHEA Grapalat" w:eastAsia="GHEA Grapalat" w:hAnsi="GHEA Grapalat"/>
                <w:b/>
                <w:szCs w:val="22"/>
                <w:lang w:val="en-US"/>
              </w:rPr>
              <w:drawing>
                <wp:anchor distT="0" distB="0" distL="114300" distR="114300" simplePos="0" relativeHeight="251694592" behindDoc="0" locked="0" layoutInCell="1" allowOverlap="1" wp14:anchorId="0AFDA61F" wp14:editId="3FDABA72">
                  <wp:simplePos x="0" y="0"/>
                  <wp:positionH relativeFrom="column">
                    <wp:posOffset>-20320</wp:posOffset>
                  </wp:positionH>
                  <wp:positionV relativeFrom="paragraph">
                    <wp:posOffset>165100</wp:posOffset>
                  </wp:positionV>
                  <wp:extent cx="3239770" cy="2202512"/>
                  <wp:effectExtent l="0" t="0" r="17780" b="7620"/>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tc>
        <w:tc>
          <w:tcPr>
            <w:tcW w:w="2463" w:type="pct"/>
          </w:tcPr>
          <w:p w14:paraId="4B1310BF" w14:textId="77777777" w:rsidR="00B33708" w:rsidRPr="00345A1C" w:rsidRDefault="00B33708" w:rsidP="0026046A">
            <w:pPr>
              <w:spacing w:line="276" w:lineRule="auto"/>
              <w:jc w:val="both"/>
              <w:rPr>
                <w:rFonts w:ascii="GHEA Grapalat" w:eastAsia="GHEA Grapalat" w:hAnsi="GHEA Grapalat" w:cs="GHEA Grapalat"/>
                <w:sz w:val="22"/>
                <w:szCs w:val="22"/>
              </w:rPr>
            </w:pPr>
            <w:r w:rsidRPr="00BC2C75">
              <w:rPr>
                <w:rFonts w:ascii="GHEA Grapalat" w:eastAsia="GHEA Grapalat" w:hAnsi="GHEA Grapalat"/>
                <w:b/>
                <w:lang w:val="en-US"/>
              </w:rPr>
              <w:drawing>
                <wp:anchor distT="0" distB="0" distL="114300" distR="114300" simplePos="0" relativeHeight="251693568" behindDoc="0" locked="0" layoutInCell="1" allowOverlap="1" wp14:anchorId="452F7052" wp14:editId="47F4C983">
                  <wp:simplePos x="0" y="0"/>
                  <wp:positionH relativeFrom="column">
                    <wp:posOffset>-66675</wp:posOffset>
                  </wp:positionH>
                  <wp:positionV relativeFrom="paragraph">
                    <wp:posOffset>152400</wp:posOffset>
                  </wp:positionV>
                  <wp:extent cx="3038475" cy="2200275"/>
                  <wp:effectExtent l="0" t="0" r="9525" b="952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tc>
      </w:tr>
      <w:tr w:rsidR="00B33708" w:rsidRPr="00345A1C" w14:paraId="47AA3821" w14:textId="77777777" w:rsidTr="0026046A">
        <w:trPr>
          <w:trHeight w:val="80"/>
        </w:trPr>
        <w:tc>
          <w:tcPr>
            <w:tcW w:w="2537" w:type="pct"/>
          </w:tcPr>
          <w:p w14:paraId="16B01E90" w14:textId="77777777" w:rsidR="00B33708" w:rsidRPr="00345A1C" w:rsidRDefault="00B33708" w:rsidP="0026046A">
            <w:pPr>
              <w:spacing w:line="276" w:lineRule="auto"/>
              <w:jc w:val="both"/>
              <w:rPr>
                <w:rFonts w:ascii="GHEA Grapalat" w:hAnsi="GHEA Grapalat" w:cs="Sylfaen"/>
                <w:i/>
                <w:sz w:val="16"/>
                <w:szCs w:val="16"/>
              </w:rPr>
            </w:pPr>
            <w:r w:rsidRPr="00345A1C">
              <w:rPr>
                <w:rFonts w:ascii="GHEA Grapalat" w:hAnsi="GHEA Grapalat" w:cs="Sylfaen"/>
                <w:i/>
                <w:sz w:val="16"/>
                <w:szCs w:val="16"/>
              </w:rPr>
              <w:t>Աղբյուրը՝ ՀՀ ԿԲ</w:t>
            </w:r>
          </w:p>
        </w:tc>
        <w:tc>
          <w:tcPr>
            <w:tcW w:w="2463" w:type="pct"/>
          </w:tcPr>
          <w:p w14:paraId="7D913BA6" w14:textId="77777777" w:rsidR="00B33708" w:rsidRPr="00345A1C" w:rsidRDefault="00B33708" w:rsidP="0026046A">
            <w:pPr>
              <w:spacing w:line="276" w:lineRule="auto"/>
              <w:jc w:val="both"/>
              <w:rPr>
                <w:rFonts w:ascii="GHEA Grapalat" w:eastAsia="GHEA Grapalat" w:hAnsi="GHEA Grapalat" w:cs="GHEA Grapalat"/>
                <w:b/>
                <w:i/>
                <w:sz w:val="16"/>
                <w:szCs w:val="16"/>
              </w:rPr>
            </w:pPr>
            <w:r w:rsidRPr="00345A1C">
              <w:rPr>
                <w:rFonts w:ascii="GHEA Grapalat" w:hAnsi="GHEA Grapalat" w:cs="Sylfaen"/>
                <w:i/>
                <w:sz w:val="16"/>
                <w:szCs w:val="16"/>
              </w:rPr>
              <w:t>Աղբյուրը՝ ՀՀ ԿԲ, ՀՀ ՖՆ հաշվարկներ</w:t>
            </w:r>
            <w:r w:rsidRPr="00345A1C" w:rsidDel="00B027E9">
              <w:rPr>
                <w:rFonts w:ascii="GHEA Grapalat" w:eastAsia="GHEA Grapalat" w:hAnsi="GHEA Grapalat" w:cs="GHEA Grapalat"/>
                <w:b/>
                <w:i/>
                <w:sz w:val="16"/>
                <w:szCs w:val="16"/>
              </w:rPr>
              <w:t xml:space="preserve"> </w:t>
            </w:r>
          </w:p>
        </w:tc>
      </w:tr>
    </w:tbl>
    <w:p w14:paraId="68382852" w14:textId="77777777" w:rsidR="00B33708" w:rsidRPr="00904F9A" w:rsidRDefault="00B33708" w:rsidP="0069504E">
      <w:pPr>
        <w:pStyle w:val="ListParagraph"/>
        <w:spacing w:after="0"/>
        <w:ind w:left="570"/>
        <w:jc w:val="both"/>
        <w:rPr>
          <w:rFonts w:ascii="GHEA Grapalat" w:hAnsi="GHEA Grapalat"/>
          <w:lang w:val="hy-AM"/>
        </w:rPr>
      </w:pPr>
    </w:p>
    <w:p w14:paraId="4D6FC5ED" w14:textId="77777777" w:rsidR="00B33708" w:rsidRPr="00904F9A" w:rsidRDefault="00B33708" w:rsidP="0069504E">
      <w:pPr>
        <w:pStyle w:val="ListParagraph"/>
        <w:spacing w:after="0"/>
        <w:ind w:left="0" w:firstLine="570"/>
        <w:jc w:val="both"/>
        <w:rPr>
          <w:rFonts w:ascii="GHEA Grapalat" w:hAnsi="GHEA Grapalat"/>
          <w:lang w:val="hy-AM"/>
        </w:rPr>
      </w:pPr>
      <w:r w:rsidRPr="00904F9A">
        <w:rPr>
          <w:rFonts w:ascii="GHEA Grapalat" w:eastAsia="GHEA Grapalat" w:hAnsi="GHEA Grapalat" w:cs="GHEA Grapalat"/>
          <w:b/>
          <w:i/>
          <w:lang w:val="hy-AM"/>
        </w:rPr>
        <w:t>Արդյունավետ փոխարժեքներ:</w:t>
      </w:r>
      <w:r w:rsidRPr="00904F9A">
        <w:rPr>
          <w:rFonts w:ascii="GHEA Grapalat" w:eastAsia="GHEA Grapalat" w:hAnsi="GHEA Grapalat" w:cs="GHEA Grapalat"/>
          <w:lang w:val="hy-AM"/>
        </w:rPr>
        <w:t xml:space="preserve"> </w:t>
      </w:r>
      <w:r w:rsidRPr="00904F9A">
        <w:rPr>
          <w:rFonts w:ascii="GHEA Grapalat" w:hAnsi="GHEA Grapalat"/>
          <w:lang w:val="hy-AM"/>
        </w:rPr>
        <w:t>ՀՀ արտաքին առևտրի տեսանկյունից առավել կարևոր արժույթներից բաղկացած զամբյուղի նկատմամբ ՀՀ ազգային արժույթն անվանական արտահայտությամբ 2025թ. արժևորվել է 4.5%-ով, իսկ իրական արտահայտությամբ՝ 2</w:t>
      </w:r>
      <w:r w:rsidRPr="00904F9A">
        <w:rPr>
          <w:rFonts w:ascii="Cambria Math" w:hAnsi="Cambria Math" w:cs="Cambria Math"/>
          <w:lang w:val="hy-AM"/>
        </w:rPr>
        <w:t>․</w:t>
      </w:r>
      <w:r w:rsidRPr="00904F9A">
        <w:rPr>
          <w:rFonts w:ascii="GHEA Grapalat" w:hAnsi="GHEA Grapalat"/>
          <w:lang w:val="hy-AM"/>
        </w:rPr>
        <w:t>3%</w:t>
      </w:r>
      <w:r w:rsidRPr="00904F9A">
        <w:rPr>
          <w:rFonts w:ascii="GHEA Grapalat" w:hAnsi="GHEA Grapalat"/>
          <w:lang w:val="hy-AM"/>
        </w:rPr>
        <w:noBreakHyphen/>
        <w:t>ով</w:t>
      </w:r>
      <w:r>
        <w:rPr>
          <w:rStyle w:val="FootnoteReference"/>
          <w:rFonts w:ascii="GHEA Grapalat" w:hAnsi="GHEA Grapalat"/>
        </w:rPr>
        <w:footnoteReference w:id="14"/>
      </w:r>
      <w:r w:rsidRPr="00904F9A">
        <w:rPr>
          <w:rFonts w:ascii="GHEA Grapalat" w:hAnsi="GHEA Grapalat"/>
          <w:lang w:val="hy-AM"/>
        </w:rPr>
        <w:t>։</w:t>
      </w:r>
    </w:p>
    <w:p w14:paraId="540903C4" w14:textId="61AE65B7" w:rsidR="00B33708" w:rsidRPr="00B06C86" w:rsidRDefault="00B33708" w:rsidP="0069504E">
      <w:pPr>
        <w:pStyle w:val="ListParagraph"/>
        <w:spacing w:after="0"/>
        <w:ind w:left="0" w:firstLine="570"/>
        <w:jc w:val="both"/>
        <w:rPr>
          <w:rFonts w:ascii="GHEA Grapalat" w:hAnsi="GHEA Grapalat"/>
          <w:b/>
          <w:lang w:val="hy-AM"/>
        </w:rPr>
      </w:pPr>
    </w:p>
    <w:p w14:paraId="7A8100AF" w14:textId="5ACB1A84" w:rsidR="0076424C" w:rsidRPr="00B06C86" w:rsidRDefault="0076424C" w:rsidP="0069504E">
      <w:pPr>
        <w:pStyle w:val="ListParagraph"/>
        <w:spacing w:after="0"/>
        <w:ind w:left="0" w:firstLine="570"/>
        <w:jc w:val="both"/>
        <w:rPr>
          <w:rFonts w:ascii="GHEA Grapalat" w:hAnsi="GHEA Grapalat"/>
          <w:b/>
          <w:lang w:val="hy-AM"/>
        </w:rPr>
      </w:pPr>
    </w:p>
    <w:p w14:paraId="3CC514FE" w14:textId="77777777" w:rsidR="0076424C" w:rsidRPr="00B06C86" w:rsidRDefault="0076424C" w:rsidP="0069504E">
      <w:pPr>
        <w:pStyle w:val="ListParagraph"/>
        <w:spacing w:after="0"/>
        <w:ind w:left="0" w:firstLine="570"/>
        <w:jc w:val="both"/>
        <w:rPr>
          <w:rFonts w:ascii="GHEA Grapalat" w:hAnsi="GHEA Grapalat"/>
          <w:b/>
          <w:lang w:val="hy-AM"/>
        </w:rPr>
      </w:pPr>
    </w:p>
    <w:p w14:paraId="78E25AE7" w14:textId="77777777" w:rsidR="00B33708" w:rsidRPr="00426228" w:rsidRDefault="00B33708" w:rsidP="003D4531">
      <w:pPr>
        <w:pStyle w:val="Heading4"/>
        <w:numPr>
          <w:ilvl w:val="3"/>
          <w:numId w:val="10"/>
        </w:numPr>
        <w:ind w:left="567" w:firstLine="0"/>
        <w:rPr>
          <w:i w:val="0"/>
        </w:rPr>
      </w:pPr>
      <w:r w:rsidRPr="00426228">
        <w:rPr>
          <w:i w:val="0"/>
        </w:rPr>
        <w:lastRenderedPageBreak/>
        <w:t>Ֆինանսական շուկաներ</w:t>
      </w:r>
      <w:r w:rsidRPr="00426228">
        <w:rPr>
          <w:i w:val="0"/>
          <w:vertAlign w:val="superscript"/>
        </w:rPr>
        <w:footnoteReference w:id="15"/>
      </w:r>
    </w:p>
    <w:p w14:paraId="1EC654EB" w14:textId="374C322F" w:rsidR="00B33708" w:rsidRPr="0069504E" w:rsidRDefault="00B33708" w:rsidP="0069504E">
      <w:pPr>
        <w:pStyle w:val="ListParagraph"/>
        <w:spacing w:after="0"/>
        <w:ind w:left="0" w:firstLine="570"/>
        <w:jc w:val="both"/>
        <w:rPr>
          <w:rFonts w:ascii="GHEA Grapalat" w:hAnsi="GHEA Grapalat"/>
          <w:lang w:val="hy-AM"/>
        </w:rPr>
      </w:pPr>
      <w:r w:rsidRPr="0069504E">
        <w:rPr>
          <w:rFonts w:ascii="GHEA Grapalat" w:hAnsi="GHEA Grapalat"/>
          <w:b/>
          <w:i/>
          <w:lang w:val="hy-AM"/>
        </w:rPr>
        <w:t>Վարկեր և ավանդներ:</w:t>
      </w:r>
      <w:r w:rsidRPr="0069504E">
        <w:rPr>
          <w:rFonts w:ascii="GHEA Grapalat" w:hAnsi="GHEA Grapalat"/>
          <w:lang w:val="hy-AM"/>
        </w:rPr>
        <w:t xml:space="preserve"> Բանկային համակարգի ֆինանսական միջնորդությունը 2025թ. բնութագրվում է վարկավորման՝ ավանդների նկատմամբ առաջանցիկ աճի միտումներով։ Ավանդների և վարկերի դրական տարբերությունը, որը 2022թ. հունիսից սկսած ձևավորվել և 2022թ. դեկտեմբերի դրությամբ հասել էր շուրջ 913 մլրդ դրամի, հաջորդող տարիներին, վարկավորման ակտիվ ընդլայնման հետ</w:t>
      </w:r>
      <w:r w:rsidR="006F5A65" w:rsidRPr="00B06C86">
        <w:rPr>
          <w:rFonts w:ascii="GHEA Grapalat" w:hAnsi="GHEA Grapalat"/>
          <w:lang w:val="hy-AM"/>
        </w:rPr>
        <w:t>,</w:t>
      </w:r>
      <w:r w:rsidRPr="0069504E">
        <w:rPr>
          <w:rFonts w:ascii="GHEA Grapalat" w:hAnsi="GHEA Grapalat"/>
          <w:lang w:val="hy-AM"/>
        </w:rPr>
        <w:t xml:space="preserve"> շարունակաբար սեղմվել է և 202</w:t>
      </w:r>
      <w:r w:rsidR="006F5A65" w:rsidRPr="00B06C86">
        <w:rPr>
          <w:rFonts w:ascii="GHEA Grapalat" w:hAnsi="GHEA Grapalat"/>
          <w:lang w:val="hy-AM"/>
        </w:rPr>
        <w:t>5</w:t>
      </w:r>
      <w:r w:rsidRPr="0069504E">
        <w:rPr>
          <w:rFonts w:ascii="GHEA Grapalat" w:hAnsi="GHEA Grapalat"/>
          <w:lang w:val="hy-AM"/>
        </w:rPr>
        <w:t>թ</w:t>
      </w:r>
      <w:r w:rsidR="006F5A65" w:rsidRPr="00B06C86">
        <w:rPr>
          <w:rFonts w:ascii="GHEA Grapalat" w:hAnsi="GHEA Grapalat"/>
          <w:lang w:val="hy-AM"/>
        </w:rPr>
        <w:t>.-</w:t>
      </w:r>
      <w:r w:rsidRPr="0069504E">
        <w:rPr>
          <w:rFonts w:ascii="GHEA Grapalat" w:hAnsi="GHEA Grapalat"/>
          <w:lang w:val="hy-AM"/>
        </w:rPr>
        <w:t>ից անցել է բացասական տիրույթ: Վարկերի աճի արագացմանը զուգահեռ աճը դարձել է առավել ընդգրկուն՝ ընդգրկելով տնտեսության գրեթե բոլոր ոլորտները։</w:t>
      </w:r>
    </w:p>
    <w:p w14:paraId="39B47EBB" w14:textId="34399B68" w:rsidR="00B33708" w:rsidRDefault="00B33708" w:rsidP="002E3FBD">
      <w:pPr>
        <w:pStyle w:val="ListParagraph"/>
        <w:spacing w:after="0"/>
        <w:ind w:left="0" w:firstLine="570"/>
        <w:jc w:val="both"/>
        <w:rPr>
          <w:rFonts w:ascii="GHEA Grapalat" w:hAnsi="GHEA Grapalat"/>
          <w:lang w:val="hy-AM"/>
        </w:rPr>
      </w:pPr>
      <w:r w:rsidRPr="002E3FBD">
        <w:rPr>
          <w:rFonts w:ascii="GHEA Grapalat" w:hAnsi="GHEA Grapalat"/>
          <w:lang w:val="hy-AM"/>
        </w:rPr>
        <w:t>2025թ. վարկերի ծավալների աճի տեմպը զգալիորեն արագացել է՝ պայմանավորված բանկային համակարգում առկա իրացվելիությամբ և վարկերի նկատմամբ բարձր պահանջարկով։ 2025թ. դեկտեմբերին առևտրային բանկերի կողմից ռեզիդենտներին տրամադրված վարկերի ծավալների աճը նախորդ տարվա նույն ամսվա նկատմամբ կազմել է 22.2%</w:t>
      </w:r>
      <w:r w:rsidRPr="00EB7147">
        <w:rPr>
          <w:rFonts w:ascii="GHEA Grapalat" w:hAnsi="GHEA Grapalat"/>
          <w:vertAlign w:val="superscript"/>
          <w:lang w:val="hy-AM"/>
        </w:rPr>
        <w:footnoteReference w:id="16"/>
      </w:r>
      <w:r w:rsidRPr="002E3FBD">
        <w:rPr>
          <w:rFonts w:ascii="GHEA Grapalat" w:hAnsi="GHEA Grapalat"/>
          <w:lang w:val="hy-AM"/>
        </w:rPr>
        <w:t>՝ (2024թ. դեկտեմբերին</w:t>
      </w:r>
      <w:r w:rsidR="00EB7147" w:rsidRPr="00B06C86">
        <w:rPr>
          <w:rFonts w:ascii="GHEA Grapalat" w:hAnsi="GHEA Grapalat"/>
          <w:lang w:val="hy-AM"/>
        </w:rPr>
        <w:t>՝</w:t>
      </w:r>
      <w:r w:rsidRPr="002E3FBD">
        <w:rPr>
          <w:rFonts w:ascii="GHEA Grapalat" w:hAnsi="GHEA Grapalat"/>
          <w:lang w:val="hy-AM"/>
        </w:rPr>
        <w:t xml:space="preserve"> 27.1%): Նշված ցուցանիշին 14.2 տոկոսային կետով նպաստել է դրամային վարկերի աճը, իսկ արտարժութային վարկերը նպաստել են 8.1 տոկոսային կետով:</w:t>
      </w:r>
    </w:p>
    <w:p w14:paraId="32E19B43" w14:textId="77777777" w:rsidR="002E3FBD" w:rsidRPr="002E3FBD" w:rsidRDefault="002E3FBD" w:rsidP="002E3FBD">
      <w:pPr>
        <w:pStyle w:val="ListParagraph"/>
        <w:spacing w:after="0"/>
        <w:ind w:left="0" w:firstLine="570"/>
        <w:jc w:val="both"/>
        <w:rPr>
          <w:rFonts w:ascii="GHEA Grapalat" w:hAnsi="GHEA Grapalat"/>
          <w:lang w:val="hy-AM"/>
        </w:rPr>
      </w:pPr>
    </w:p>
    <w:p w14:paraId="5C6EB116" w14:textId="77777777" w:rsidR="00B33708" w:rsidRPr="0025536A" w:rsidRDefault="00B33708" w:rsidP="002E3FBD">
      <w:pPr>
        <w:keepNext/>
        <w:keepLines/>
        <w:tabs>
          <w:tab w:val="left" w:pos="0"/>
          <w:tab w:val="left" w:pos="284"/>
          <w:tab w:val="left" w:pos="1276"/>
          <w:tab w:val="left" w:pos="1888"/>
        </w:tabs>
        <w:autoSpaceDE w:val="0"/>
        <w:autoSpaceDN w:val="0"/>
        <w:adjustRightInd w:val="0"/>
        <w:spacing w:line="276" w:lineRule="auto"/>
        <w:rPr>
          <w:rFonts w:ascii="GHEA Grapalat" w:eastAsia="Calibri" w:hAnsi="GHEA Grapalat" w:cs="Sylfaen"/>
          <w:b/>
          <w:noProof w:val="0"/>
          <w:sz w:val="18"/>
          <w:szCs w:val="18"/>
        </w:rPr>
      </w:pPr>
      <w:r w:rsidRPr="0025536A">
        <w:rPr>
          <w:rFonts w:ascii="GHEA Grapalat" w:eastAsia="GHEA Grapalat" w:hAnsi="GHEA Grapalat" w:cs="GHEA Grapalat"/>
          <w:b/>
          <w:noProof w:val="0"/>
          <w:sz w:val="18"/>
          <w:szCs w:val="18"/>
        </w:rPr>
        <w:t>Գծապատկեր 3</w:t>
      </w:r>
      <w:r>
        <w:rPr>
          <w:rFonts w:ascii="GHEA Grapalat" w:eastAsia="GHEA Grapalat" w:hAnsi="GHEA Grapalat" w:cs="GHEA Grapalat"/>
          <w:b/>
          <w:noProof w:val="0"/>
          <w:sz w:val="18"/>
          <w:szCs w:val="18"/>
        </w:rPr>
        <w:t>0</w:t>
      </w:r>
      <w:r w:rsidRPr="0025536A">
        <w:rPr>
          <w:rFonts w:ascii="GHEA Grapalat" w:eastAsia="GHEA Grapalat" w:hAnsi="GHEA Grapalat" w:cs="GHEA Grapalat"/>
          <w:b/>
          <w:noProof w:val="0"/>
          <w:sz w:val="18"/>
          <w:szCs w:val="18"/>
        </w:rPr>
        <w:t xml:space="preserve">. </w:t>
      </w:r>
      <w:r w:rsidRPr="0025536A">
        <w:rPr>
          <w:rFonts w:ascii="GHEA Grapalat" w:eastAsia="Calibri" w:hAnsi="GHEA Grapalat" w:cs="Sylfaen"/>
          <w:b/>
          <w:noProof w:val="0"/>
          <w:sz w:val="18"/>
          <w:szCs w:val="18"/>
        </w:rPr>
        <w:t>Ռեզիդենտների վարկերի և ավանդների ծավալների աճը (նախորդ տարվա նկատմամբ, %)</w:t>
      </w:r>
    </w:p>
    <w:p w14:paraId="1D8C7B13" w14:textId="77777777" w:rsidR="00B33708" w:rsidRPr="00345A1C" w:rsidRDefault="00B33708" w:rsidP="00B33708">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hAnsi="GHEA Grapalat"/>
          <w:sz w:val="28"/>
          <w:lang w:val="en-US"/>
        </w:rPr>
        <w:drawing>
          <wp:inline distT="0" distB="0" distL="0" distR="0" wp14:anchorId="14E38A9F" wp14:editId="7849BC0B">
            <wp:extent cx="3168000" cy="2664000"/>
            <wp:effectExtent l="0" t="0" r="13970" b="3175"/>
            <wp:docPr id="39"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345A1C">
        <w:rPr>
          <w:rFonts w:ascii="GHEA Grapalat" w:hAnsi="GHEA Grapalat"/>
          <w:sz w:val="28"/>
          <w:lang w:val="en-US"/>
        </w:rPr>
        <w:drawing>
          <wp:inline distT="0" distB="0" distL="0" distR="0" wp14:anchorId="3FBFDA5F" wp14:editId="3E294966">
            <wp:extent cx="3168000" cy="2664000"/>
            <wp:effectExtent l="0" t="0" r="13970" b="3175"/>
            <wp:docPr id="40"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15A58D3" w14:textId="77777777" w:rsidR="00B33708" w:rsidRPr="00D874F0" w:rsidRDefault="00B33708" w:rsidP="00B33708">
      <w:pPr>
        <w:spacing w:line="276" w:lineRule="auto"/>
        <w:jc w:val="both"/>
        <w:rPr>
          <w:rFonts w:ascii="GHEA Grapalat" w:hAnsi="GHEA Grapalat" w:cs="GHEA Grapalat"/>
          <w:i/>
          <w:sz w:val="16"/>
          <w:szCs w:val="16"/>
        </w:rPr>
      </w:pPr>
      <w:r w:rsidRPr="00BC2C75">
        <w:rPr>
          <w:rFonts w:ascii="GHEA Grapalat" w:hAnsi="GHEA Grapalat" w:cs="Sylfaen"/>
          <w:i/>
          <w:sz w:val="16"/>
          <w:szCs w:val="16"/>
        </w:rPr>
        <w:t>Աղբյուրը՝</w:t>
      </w:r>
      <w:r>
        <w:rPr>
          <w:rFonts w:ascii="GHEA Grapalat" w:hAnsi="GHEA Grapalat" w:cs="Sylfaen"/>
          <w:i/>
          <w:sz w:val="16"/>
          <w:szCs w:val="16"/>
        </w:rPr>
        <w:t xml:space="preserve"> ՀՀ ԿԲ և ՀՀ ՖՆ հաշվարկներ: </w:t>
      </w:r>
    </w:p>
    <w:p w14:paraId="720E7715" w14:textId="77777777" w:rsidR="00B33708" w:rsidRDefault="00B33708" w:rsidP="00B33708">
      <w:pPr>
        <w:spacing w:line="276" w:lineRule="auto"/>
        <w:ind w:firstLine="567"/>
        <w:jc w:val="both"/>
        <w:rPr>
          <w:rFonts w:ascii="GHEA Grapalat" w:eastAsia="Calibri" w:hAnsi="GHEA Grapalat" w:cs="Sylfaen"/>
          <w:sz w:val="22"/>
          <w:szCs w:val="22"/>
        </w:rPr>
      </w:pPr>
    </w:p>
    <w:p w14:paraId="2FFB5811" w14:textId="7B613F6C" w:rsidR="00B33708" w:rsidRPr="00345A1C" w:rsidRDefault="00B33708" w:rsidP="00B3370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Վարկերի աճը հիմնականում պայմանավորվել է սպառողական</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(աճը՝ </w:t>
      </w:r>
      <w:r>
        <w:rPr>
          <w:rFonts w:ascii="GHEA Grapalat" w:eastAsia="Calibri" w:hAnsi="GHEA Grapalat" w:cs="Sylfaen"/>
          <w:sz w:val="22"/>
          <w:szCs w:val="22"/>
        </w:rPr>
        <w:t>13.2</w:t>
      </w:r>
      <w:r w:rsidRPr="00345A1C">
        <w:rPr>
          <w:rFonts w:ascii="GHEA Grapalat" w:eastAsia="Calibri" w:hAnsi="GHEA Grapalat" w:cs="Sylfaen"/>
          <w:sz w:val="22"/>
          <w:szCs w:val="22"/>
        </w:rPr>
        <w:t xml:space="preserve">%, նպաստումը՝ </w:t>
      </w:r>
      <w:r w:rsidRPr="000D162B">
        <w:rPr>
          <w:rFonts w:ascii="GHEA Grapalat" w:eastAsia="Calibri" w:hAnsi="GHEA Grapalat" w:cs="Sylfaen"/>
          <w:sz w:val="22"/>
          <w:szCs w:val="22"/>
        </w:rPr>
        <w:t>6.</w:t>
      </w:r>
      <w:r>
        <w:rPr>
          <w:rFonts w:ascii="GHEA Grapalat" w:eastAsia="Calibri" w:hAnsi="GHEA Grapalat" w:cs="Sylfaen"/>
          <w:sz w:val="22"/>
          <w:szCs w:val="22"/>
        </w:rPr>
        <w:t>5</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շինարարության </w:t>
      </w:r>
      <w:r>
        <w:rPr>
          <w:rFonts w:ascii="GHEA Grapalat" w:eastAsia="Calibri" w:hAnsi="GHEA Grapalat" w:cs="Sylfaen"/>
          <w:sz w:val="22"/>
          <w:szCs w:val="22"/>
        </w:rPr>
        <w:t xml:space="preserve">ոլորտի </w:t>
      </w:r>
      <w:r w:rsidRPr="00345A1C">
        <w:rPr>
          <w:rFonts w:ascii="GHEA Grapalat" w:eastAsia="Calibri" w:hAnsi="GHEA Grapalat" w:cs="Sylfaen"/>
          <w:sz w:val="22"/>
          <w:szCs w:val="22"/>
        </w:rPr>
        <w:t>(աճը՝ 3</w:t>
      </w:r>
      <w:r>
        <w:rPr>
          <w:rFonts w:ascii="GHEA Grapalat" w:eastAsia="Calibri" w:hAnsi="GHEA Grapalat" w:cs="Sylfaen"/>
          <w:sz w:val="22"/>
          <w:szCs w:val="22"/>
        </w:rPr>
        <w:t>0.2</w:t>
      </w:r>
      <w:r w:rsidRPr="00345A1C">
        <w:rPr>
          <w:rFonts w:ascii="GHEA Grapalat" w:eastAsia="Calibri" w:hAnsi="GHEA Grapalat" w:cs="Sylfaen"/>
          <w:sz w:val="22"/>
          <w:szCs w:val="22"/>
        </w:rPr>
        <w:t>%, նպաստումը՝ 3.</w:t>
      </w:r>
      <w:r>
        <w:rPr>
          <w:rFonts w:ascii="GHEA Grapalat" w:eastAsia="Calibri" w:hAnsi="GHEA Grapalat" w:cs="Sylfaen"/>
          <w:sz w:val="22"/>
          <w:szCs w:val="22"/>
        </w:rPr>
        <w:t>1</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w:t>
      </w:r>
      <w:r w:rsidR="00FC0410">
        <w:rPr>
          <w:rFonts w:ascii="GHEA Grapalat" w:eastAsia="Calibri" w:hAnsi="GHEA Grapalat" w:cs="Sylfaen"/>
          <w:sz w:val="22"/>
          <w:szCs w:val="22"/>
        </w:rPr>
        <w:t>հիպոտեկ</w:t>
      </w:r>
      <w:r w:rsidRPr="00345A1C">
        <w:rPr>
          <w:rFonts w:ascii="GHEA Grapalat" w:eastAsia="Calibri" w:hAnsi="GHEA Grapalat" w:cs="Sylfaen"/>
          <w:sz w:val="22"/>
          <w:szCs w:val="22"/>
        </w:rPr>
        <w:t>ային (աճը՝</w:t>
      </w:r>
      <w:r>
        <w:rPr>
          <w:rFonts w:ascii="GHEA Grapalat" w:eastAsia="Calibri" w:hAnsi="GHEA Grapalat" w:cs="Sylfaen"/>
          <w:sz w:val="22"/>
          <w:szCs w:val="22"/>
        </w:rPr>
        <w:t xml:space="preserve"> 21.3</w:t>
      </w:r>
      <w:r w:rsidRPr="00345A1C">
        <w:rPr>
          <w:rFonts w:ascii="GHEA Grapalat" w:eastAsia="Calibri" w:hAnsi="GHEA Grapalat" w:cs="Sylfaen"/>
          <w:sz w:val="22"/>
          <w:szCs w:val="22"/>
        </w:rPr>
        <w:t>%, նպաստումը՝</w:t>
      </w:r>
      <w:r>
        <w:rPr>
          <w:rFonts w:ascii="GHEA Grapalat" w:eastAsia="Calibri" w:hAnsi="GHEA Grapalat" w:cs="Sylfaen"/>
          <w:sz w:val="22"/>
          <w:szCs w:val="22"/>
        </w:rPr>
        <w:t xml:space="preserve"> 3.1</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և</w:t>
      </w:r>
      <w:r w:rsidRPr="00345A1C">
        <w:rPr>
          <w:rFonts w:ascii="GHEA Grapalat" w:eastAsia="Calibri" w:hAnsi="GHEA Grapalat" w:cs="Sylfaen"/>
          <w:sz w:val="22"/>
          <w:szCs w:val="22"/>
        </w:rPr>
        <w:t xml:space="preserve"> արդյունաբերության </w:t>
      </w:r>
      <w:r>
        <w:rPr>
          <w:rFonts w:ascii="GHEA Grapalat" w:eastAsia="Calibri" w:hAnsi="GHEA Grapalat" w:cs="Sylfaen"/>
          <w:sz w:val="22"/>
          <w:szCs w:val="22"/>
        </w:rPr>
        <w:t xml:space="preserve">ոլորտի </w:t>
      </w:r>
      <w:r w:rsidRPr="00345A1C">
        <w:rPr>
          <w:rFonts w:ascii="GHEA Grapalat" w:eastAsia="Calibri" w:hAnsi="GHEA Grapalat" w:cs="Sylfaen"/>
          <w:sz w:val="22"/>
          <w:szCs w:val="22"/>
        </w:rPr>
        <w:t xml:space="preserve">(աճը՝ </w:t>
      </w:r>
      <w:r>
        <w:rPr>
          <w:rFonts w:ascii="GHEA Grapalat" w:eastAsia="Calibri" w:hAnsi="GHEA Grapalat" w:cs="Sylfaen"/>
          <w:sz w:val="22"/>
          <w:szCs w:val="22"/>
        </w:rPr>
        <w:t>25.2</w:t>
      </w:r>
      <w:r w:rsidRPr="00345A1C">
        <w:rPr>
          <w:rFonts w:ascii="GHEA Grapalat" w:eastAsia="Calibri" w:hAnsi="GHEA Grapalat" w:cs="Sylfaen"/>
          <w:sz w:val="22"/>
          <w:szCs w:val="22"/>
        </w:rPr>
        <w:t xml:space="preserve">%, նպաստումը՝ </w:t>
      </w:r>
      <w:r>
        <w:rPr>
          <w:rFonts w:ascii="GHEA Grapalat" w:eastAsia="Calibri" w:hAnsi="GHEA Grapalat" w:cs="Sylfaen"/>
          <w:sz w:val="22"/>
          <w:szCs w:val="22"/>
        </w:rPr>
        <w:t>2.3</w:t>
      </w:r>
      <w:r w:rsidRPr="00345A1C">
        <w:rPr>
          <w:rFonts w:ascii="GHEA Grapalat" w:eastAsia="Calibri" w:hAnsi="GHEA Grapalat" w:cs="Sylfaen"/>
          <w:sz w:val="22"/>
          <w:szCs w:val="22"/>
        </w:rPr>
        <w:t xml:space="preserve"> տոկոսային կետ) </w:t>
      </w:r>
      <w:r>
        <w:rPr>
          <w:rFonts w:ascii="GHEA Grapalat" w:eastAsia="Calibri" w:hAnsi="GHEA Grapalat" w:cs="Sylfaen"/>
          <w:sz w:val="22"/>
          <w:szCs w:val="22"/>
        </w:rPr>
        <w:t>վարկերի աճերով։ Առավել փ</w:t>
      </w:r>
      <w:r w:rsidRPr="00345A1C">
        <w:rPr>
          <w:rFonts w:ascii="GHEA Grapalat" w:eastAsia="Calibri" w:hAnsi="GHEA Grapalat" w:cs="Sylfaen"/>
          <w:sz w:val="22"/>
          <w:szCs w:val="22"/>
        </w:rPr>
        <w:t xml:space="preserve">ոքր </w:t>
      </w:r>
      <w:r>
        <w:rPr>
          <w:rFonts w:ascii="GHEA Grapalat" w:eastAsia="Calibri" w:hAnsi="GHEA Grapalat" w:cs="Sylfaen"/>
          <w:sz w:val="22"/>
          <w:szCs w:val="22"/>
        </w:rPr>
        <w:t>դրական նպաստումներ են ունեցել ֆինանսական և ապահովագր</w:t>
      </w:r>
      <w:bookmarkStart w:id="11" w:name="_GoBack"/>
      <w:bookmarkEnd w:id="11"/>
      <w:r>
        <w:rPr>
          <w:rFonts w:ascii="GHEA Grapalat" w:eastAsia="Calibri" w:hAnsi="GHEA Grapalat" w:cs="Sylfaen"/>
          <w:sz w:val="22"/>
          <w:szCs w:val="22"/>
        </w:rPr>
        <w:t>ական գործունեությանը, առևտրի, գյուղատնտեսության,</w:t>
      </w:r>
      <w:r w:rsidRPr="00345A1C">
        <w:rPr>
          <w:rFonts w:ascii="GHEA Grapalat" w:eastAsia="Calibri" w:hAnsi="GHEA Grapalat" w:cs="Sylfaen"/>
          <w:sz w:val="22"/>
          <w:szCs w:val="22"/>
        </w:rPr>
        <w:t xml:space="preserve"> տրանսպորտի և կապի ոլորտներին ուղղված վարկե</w:t>
      </w:r>
      <w:r>
        <w:rPr>
          <w:rFonts w:ascii="GHEA Grapalat" w:eastAsia="Calibri" w:hAnsi="GHEA Grapalat" w:cs="Sylfaen"/>
          <w:sz w:val="22"/>
          <w:szCs w:val="22"/>
        </w:rPr>
        <w:t>րի աճերը</w:t>
      </w:r>
      <w:r w:rsidRPr="00345A1C">
        <w:rPr>
          <w:rFonts w:ascii="GHEA Grapalat" w:eastAsia="Calibri" w:hAnsi="GHEA Grapalat" w:cs="Sylfaen"/>
          <w:sz w:val="22"/>
          <w:szCs w:val="22"/>
        </w:rPr>
        <w:t xml:space="preserve">։ </w:t>
      </w:r>
    </w:p>
    <w:p w14:paraId="586E4C55" w14:textId="543FFDF9" w:rsidR="00B33708" w:rsidRPr="00345A1C" w:rsidRDefault="00B33708" w:rsidP="00B33708">
      <w:pPr>
        <w:spacing w:line="276" w:lineRule="auto"/>
        <w:ind w:firstLine="567"/>
        <w:jc w:val="both"/>
        <w:rPr>
          <w:rFonts w:ascii="GHEA Grapalat" w:eastAsia="Calibri" w:hAnsi="GHEA Grapalat" w:cs="Sylfaen"/>
          <w:sz w:val="22"/>
          <w:szCs w:val="22"/>
        </w:rPr>
      </w:pPr>
      <w:r w:rsidRPr="0076424C">
        <w:rPr>
          <w:rFonts w:ascii="GHEA Grapalat" w:eastAsia="Calibri" w:hAnsi="GHEA Grapalat" w:cs="Sylfaen"/>
          <w:sz w:val="22"/>
          <w:szCs w:val="22"/>
        </w:rPr>
        <w:t>2025թ. ավանդների աճի տեմպը որոշակի</w:t>
      </w:r>
      <w:r w:rsidR="0076424C" w:rsidRPr="00B06C86">
        <w:rPr>
          <w:rFonts w:ascii="GHEA Grapalat" w:eastAsia="Calibri" w:hAnsi="GHEA Grapalat" w:cs="Sylfaen"/>
          <w:sz w:val="22"/>
          <w:szCs w:val="22"/>
        </w:rPr>
        <w:t>որեն</w:t>
      </w:r>
      <w:r w:rsidRPr="0076424C">
        <w:rPr>
          <w:rFonts w:ascii="GHEA Grapalat" w:eastAsia="Calibri" w:hAnsi="GHEA Grapalat" w:cs="Sylfaen"/>
          <w:sz w:val="22"/>
          <w:szCs w:val="22"/>
        </w:rPr>
        <w:t xml:space="preserve"> արագացել է նախորդ </w:t>
      </w:r>
      <w:r w:rsidR="00853882">
        <w:rPr>
          <w:rFonts w:ascii="GHEA Grapalat" w:eastAsia="Calibri" w:hAnsi="GHEA Grapalat" w:cs="Sylfaen"/>
          <w:sz w:val="22"/>
          <w:szCs w:val="22"/>
        </w:rPr>
        <w:t xml:space="preserve">ժամանակահատվածի </w:t>
      </w:r>
      <w:r w:rsidRPr="0076424C">
        <w:rPr>
          <w:rFonts w:ascii="GHEA Grapalat" w:eastAsia="Calibri" w:hAnsi="GHEA Grapalat" w:cs="Sylfaen"/>
          <w:sz w:val="22"/>
          <w:szCs w:val="22"/>
        </w:rPr>
        <w:t xml:space="preserve">համեմատությամբ: </w:t>
      </w:r>
      <w:r w:rsidRPr="00167E98">
        <w:rPr>
          <w:rFonts w:ascii="GHEA Grapalat" w:eastAsia="Calibri" w:hAnsi="GHEA Grapalat" w:cs="Sylfaen"/>
          <w:sz w:val="22"/>
          <w:szCs w:val="22"/>
        </w:rPr>
        <w:t>Առևտրային</w:t>
      </w:r>
      <w:r w:rsidRPr="00345A1C">
        <w:rPr>
          <w:rFonts w:ascii="GHEA Grapalat" w:eastAsia="Calibri" w:hAnsi="GHEA Grapalat" w:cs="Sylfaen"/>
          <w:sz w:val="22"/>
          <w:szCs w:val="22"/>
        </w:rPr>
        <w:t xml:space="preserve"> բանկերի կողմից ռեզիդենտներից ներգրավված ավանդներ</w:t>
      </w:r>
      <w:r>
        <w:rPr>
          <w:rFonts w:ascii="GHEA Grapalat" w:eastAsia="Calibri" w:hAnsi="GHEA Grapalat" w:cs="Sylfaen"/>
          <w:sz w:val="22"/>
          <w:szCs w:val="22"/>
        </w:rPr>
        <w:t xml:space="preserve">ի </w:t>
      </w:r>
      <w:r>
        <w:rPr>
          <w:rFonts w:ascii="GHEA Grapalat" w:eastAsia="Calibri" w:hAnsi="GHEA Grapalat" w:cs="Sylfaen"/>
          <w:sz w:val="22"/>
          <w:szCs w:val="22"/>
        </w:rPr>
        <w:lastRenderedPageBreak/>
        <w:t>ծավալներն</w:t>
      </w:r>
      <w:r w:rsidRPr="00345A1C">
        <w:rPr>
          <w:rFonts w:ascii="GHEA Grapalat" w:eastAsia="Calibri" w:hAnsi="GHEA Grapalat" w:cs="Sylfaen"/>
          <w:sz w:val="22"/>
          <w:szCs w:val="22"/>
        </w:rPr>
        <w:t xml:space="preserve"> աճել են 1</w:t>
      </w:r>
      <w:r w:rsidR="003A6213" w:rsidRPr="00F564B2">
        <w:rPr>
          <w:rFonts w:ascii="GHEA Grapalat" w:eastAsia="Calibri" w:hAnsi="GHEA Grapalat" w:cs="Sylfaen"/>
          <w:sz w:val="22"/>
          <w:szCs w:val="22"/>
        </w:rPr>
        <w:t>8.2</w:t>
      </w:r>
      <w:r w:rsidRPr="00345A1C">
        <w:rPr>
          <w:rFonts w:ascii="GHEA Grapalat" w:eastAsia="Calibri" w:hAnsi="GHEA Grapalat" w:cs="Sylfaen"/>
          <w:sz w:val="22"/>
          <w:szCs w:val="22"/>
        </w:rPr>
        <w:t>%</w:t>
      </w:r>
      <w:r w:rsidRPr="00345A1C">
        <w:rPr>
          <w:rFonts w:ascii="GHEA Grapalat" w:eastAsia="Calibri" w:hAnsi="GHEA Grapalat" w:cs="Sylfaen"/>
          <w:sz w:val="22"/>
          <w:szCs w:val="22"/>
        </w:rPr>
        <w:noBreakHyphen/>
        <w:t>ով:</w:t>
      </w:r>
      <w:r>
        <w:rPr>
          <w:rFonts w:ascii="GHEA Grapalat" w:eastAsia="Calibri" w:hAnsi="GHEA Grapalat" w:cs="Sylfaen"/>
          <w:sz w:val="22"/>
          <w:szCs w:val="22"/>
        </w:rPr>
        <w:t xml:space="preserve"> Ռեզիդենտների ա</w:t>
      </w:r>
      <w:r w:rsidRPr="00345A1C">
        <w:rPr>
          <w:rFonts w:ascii="GHEA Grapalat" w:eastAsia="Calibri" w:hAnsi="GHEA Grapalat" w:cs="Sylfaen"/>
          <w:sz w:val="22"/>
          <w:szCs w:val="22"/>
        </w:rPr>
        <w:t xml:space="preserve">վանդների աճին </w:t>
      </w:r>
      <w:r>
        <w:rPr>
          <w:rFonts w:ascii="GHEA Grapalat" w:eastAsia="Calibri" w:hAnsi="GHEA Grapalat" w:cs="Sylfaen"/>
          <w:sz w:val="22"/>
          <w:szCs w:val="22"/>
        </w:rPr>
        <w:t>10</w:t>
      </w:r>
      <w:r w:rsidRPr="00345A1C">
        <w:rPr>
          <w:rFonts w:ascii="GHEA Grapalat" w:eastAsia="Calibri" w:hAnsi="GHEA Grapalat" w:cs="Sylfaen"/>
          <w:sz w:val="22"/>
          <w:szCs w:val="22"/>
        </w:rPr>
        <w:t xml:space="preserve"> տոկոսային կետով նպաստել է տնային տնտեսությունների ավանդների աճը, իսկ ձեռնարկությունների ավանդները նպաստել են </w:t>
      </w:r>
      <w:r>
        <w:rPr>
          <w:rFonts w:ascii="GHEA Grapalat" w:eastAsia="Calibri" w:hAnsi="GHEA Grapalat" w:cs="Sylfaen"/>
          <w:sz w:val="22"/>
          <w:szCs w:val="22"/>
        </w:rPr>
        <w:t>4.4</w:t>
      </w:r>
      <w:r w:rsidRPr="00345A1C">
        <w:rPr>
          <w:rFonts w:ascii="GHEA Grapalat" w:eastAsia="Calibri" w:hAnsi="GHEA Grapalat" w:cs="Sylfaen"/>
          <w:sz w:val="22"/>
          <w:szCs w:val="22"/>
        </w:rPr>
        <w:t xml:space="preserve"> տոկոսային կետով։ Արժութային կառուցվածքի տեսակետից 1</w:t>
      </w:r>
      <w:r>
        <w:rPr>
          <w:rFonts w:ascii="GHEA Grapalat" w:eastAsia="Calibri" w:hAnsi="GHEA Grapalat" w:cs="Sylfaen"/>
          <w:sz w:val="22"/>
          <w:szCs w:val="22"/>
        </w:rPr>
        <w:t>6</w:t>
      </w:r>
      <w:r w:rsidR="007420D3" w:rsidRPr="00493BAB">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տոկոսային կետով դրական նպաստում է ունեցել դրամային ավանդների աճը, իսկ արտարժութային ավանդների նպաստումը կազմել է </w:t>
      </w:r>
      <w:r w:rsidR="003A6213" w:rsidRPr="00F564B2">
        <w:rPr>
          <w:rFonts w:ascii="GHEA Grapalat" w:eastAsia="Calibri" w:hAnsi="GHEA Grapalat" w:cs="Sylfaen"/>
          <w:sz w:val="22"/>
          <w:szCs w:val="22"/>
        </w:rPr>
        <w:t>3.2</w:t>
      </w:r>
      <w:r w:rsidRPr="00345A1C">
        <w:rPr>
          <w:rFonts w:ascii="GHEA Grapalat" w:eastAsia="Calibri" w:hAnsi="GHEA Grapalat" w:cs="Sylfaen"/>
          <w:sz w:val="22"/>
          <w:szCs w:val="22"/>
        </w:rPr>
        <w:t xml:space="preserve"> տոկոսային կետ: Ռեզիդենտների ավանդների աճին ցպահանջ ավանդները նպաստել են </w:t>
      </w:r>
      <w:r w:rsidR="008E5B43">
        <w:rPr>
          <w:rFonts w:ascii="GHEA Grapalat" w:eastAsia="Calibri" w:hAnsi="GHEA Grapalat" w:cs="Sylfaen"/>
          <w:sz w:val="22"/>
          <w:szCs w:val="22"/>
          <w:lang w:val="en-US"/>
        </w:rPr>
        <w:t>2.3</w:t>
      </w:r>
      <w:r w:rsidRPr="00345A1C">
        <w:rPr>
          <w:rFonts w:ascii="GHEA Grapalat" w:eastAsia="Calibri" w:hAnsi="GHEA Grapalat" w:cs="Sylfaen"/>
          <w:sz w:val="22"/>
          <w:szCs w:val="22"/>
        </w:rPr>
        <w:t xml:space="preserve">, իսկ ժամկետային ավանդները՝ </w:t>
      </w:r>
      <w:r>
        <w:rPr>
          <w:rFonts w:ascii="GHEA Grapalat" w:eastAsia="Calibri" w:hAnsi="GHEA Grapalat" w:cs="Sylfaen"/>
          <w:sz w:val="22"/>
          <w:szCs w:val="22"/>
        </w:rPr>
        <w:t>15.9</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եր</w:t>
      </w:r>
      <w:r w:rsidRPr="00345A1C">
        <w:rPr>
          <w:rFonts w:ascii="GHEA Grapalat" w:eastAsia="Calibri" w:hAnsi="GHEA Grapalat" w:cs="Sylfaen"/>
          <w:sz w:val="22"/>
          <w:szCs w:val="22"/>
        </w:rPr>
        <w:t>ով։</w:t>
      </w:r>
      <w:r w:rsidRPr="00BC2C75">
        <w:rPr>
          <w:rFonts w:ascii="GHEA Grapalat" w:eastAsia="Calibri" w:hAnsi="GHEA Grapalat" w:cs="Sylfaen"/>
          <w:sz w:val="22"/>
          <w:szCs w:val="22"/>
        </w:rPr>
        <w:t xml:space="preserve"> </w:t>
      </w:r>
    </w:p>
    <w:p w14:paraId="1A732FA6" w14:textId="6B834246" w:rsidR="00B33708" w:rsidRPr="00345A1C" w:rsidRDefault="00B33708" w:rsidP="00B3370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Ոչ ռեզիդենտների ավանդները</w:t>
      </w:r>
      <w:r>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դեկտեմբերին</w:t>
      </w:r>
      <w:r w:rsidRPr="00345A1C">
        <w:rPr>
          <w:rFonts w:ascii="GHEA Grapalat" w:eastAsia="Calibri" w:hAnsi="GHEA Grapalat" w:cs="Sylfaen"/>
          <w:sz w:val="22"/>
          <w:szCs w:val="22"/>
        </w:rPr>
        <w:t xml:space="preserve"> աճել են </w:t>
      </w:r>
      <w:r w:rsidR="008771BC" w:rsidRPr="00F564B2">
        <w:rPr>
          <w:rFonts w:ascii="GHEA Grapalat" w:eastAsia="Calibri" w:hAnsi="GHEA Grapalat" w:cs="Sylfaen"/>
          <w:sz w:val="22"/>
          <w:szCs w:val="22"/>
        </w:rPr>
        <w:t>5.9</w:t>
      </w:r>
      <w:r w:rsidRPr="00345A1C">
        <w:rPr>
          <w:rFonts w:ascii="GHEA Grapalat" w:eastAsia="Calibri" w:hAnsi="GHEA Grapalat" w:cs="Sylfaen"/>
          <w:sz w:val="22"/>
          <w:szCs w:val="22"/>
        </w:rPr>
        <w:t>%-ով</w:t>
      </w:r>
      <w:r>
        <w:rPr>
          <w:rFonts w:ascii="GHEA Grapalat" w:eastAsia="Calibri" w:hAnsi="GHEA Grapalat" w:cs="Sylfaen"/>
          <w:sz w:val="22"/>
          <w:szCs w:val="22"/>
        </w:rPr>
        <w:t xml:space="preserve">: </w:t>
      </w:r>
      <w:r w:rsidRPr="00345A1C">
        <w:rPr>
          <w:rFonts w:ascii="GHEA Grapalat" w:eastAsia="Calibri" w:hAnsi="GHEA Grapalat" w:cs="Sylfaen"/>
          <w:sz w:val="22"/>
          <w:szCs w:val="22"/>
        </w:rPr>
        <w:t>Ոչ ռեզիդենտների ավանդների կազմում արտարժութային ավա</w:t>
      </w:r>
      <w:r>
        <w:rPr>
          <w:rFonts w:ascii="GHEA Grapalat" w:eastAsia="Calibri" w:hAnsi="GHEA Grapalat" w:cs="Sylfaen"/>
          <w:sz w:val="22"/>
          <w:szCs w:val="22"/>
        </w:rPr>
        <w:t>ն</w:t>
      </w:r>
      <w:r w:rsidRPr="00345A1C">
        <w:rPr>
          <w:rFonts w:ascii="GHEA Grapalat" w:eastAsia="Calibri" w:hAnsi="GHEA Grapalat" w:cs="Sylfaen"/>
          <w:sz w:val="22"/>
          <w:szCs w:val="22"/>
        </w:rPr>
        <w:t xml:space="preserve">դների աճը կազմել է </w:t>
      </w:r>
      <w:r w:rsidR="008771BC" w:rsidRPr="00F564B2">
        <w:rPr>
          <w:rFonts w:ascii="GHEA Grapalat" w:eastAsia="Calibri" w:hAnsi="GHEA Grapalat" w:cs="Sylfaen"/>
          <w:sz w:val="22"/>
          <w:szCs w:val="22"/>
        </w:rPr>
        <w:t>8.5</w:t>
      </w:r>
      <w:r w:rsidRPr="00345A1C">
        <w:rPr>
          <w:rFonts w:ascii="GHEA Grapalat" w:eastAsia="Calibri" w:hAnsi="GHEA Grapalat" w:cs="Sylfaen"/>
          <w:sz w:val="22"/>
          <w:szCs w:val="22"/>
        </w:rPr>
        <w:t xml:space="preserve">% (նպաստումը՝ </w:t>
      </w:r>
      <w:r w:rsidR="000035B8" w:rsidRPr="00F564B2">
        <w:rPr>
          <w:rFonts w:ascii="GHEA Grapalat" w:eastAsia="Calibri" w:hAnsi="GHEA Grapalat" w:cs="Sylfaen"/>
          <w:sz w:val="22"/>
          <w:szCs w:val="22"/>
        </w:rPr>
        <w:t>6.8</w:t>
      </w:r>
      <w:r w:rsidRPr="00345A1C">
        <w:rPr>
          <w:rFonts w:ascii="GHEA Grapalat" w:eastAsia="Calibri" w:hAnsi="GHEA Grapalat" w:cs="Sylfaen"/>
          <w:sz w:val="22"/>
          <w:szCs w:val="22"/>
        </w:rPr>
        <w:t xml:space="preserve"> տոկոսային կետ), դրամային ավանդների աճը</w:t>
      </w:r>
      <w:r>
        <w:rPr>
          <w:rFonts w:ascii="GHEA Grapalat" w:eastAsia="Calibri" w:hAnsi="GHEA Grapalat" w:cs="Sylfaen"/>
          <w:sz w:val="22"/>
          <w:szCs w:val="22"/>
        </w:rPr>
        <w:t xml:space="preserve">՝ </w:t>
      </w:r>
      <w:r w:rsidR="006D416F" w:rsidRPr="00F564B2">
        <w:rPr>
          <w:rFonts w:ascii="GHEA Grapalat" w:eastAsia="Calibri" w:hAnsi="GHEA Grapalat" w:cs="Sylfaen"/>
          <w:sz w:val="22"/>
          <w:szCs w:val="22"/>
        </w:rPr>
        <w:t>-4.6</w:t>
      </w:r>
      <w:r w:rsidRPr="00345A1C">
        <w:rPr>
          <w:rFonts w:ascii="GHEA Grapalat" w:eastAsia="Calibri" w:hAnsi="GHEA Grapalat" w:cs="Sylfaen"/>
          <w:sz w:val="22"/>
          <w:szCs w:val="22"/>
        </w:rPr>
        <w:t xml:space="preserve">%, </w:t>
      </w:r>
      <w:r w:rsidRPr="000D162B">
        <w:rPr>
          <w:rFonts w:ascii="GHEA Grapalat" w:eastAsia="Calibri" w:hAnsi="GHEA Grapalat" w:cs="Sylfaen"/>
          <w:sz w:val="22"/>
          <w:szCs w:val="22"/>
        </w:rPr>
        <w:t>(</w:t>
      </w:r>
      <w:r w:rsidRPr="00345A1C">
        <w:rPr>
          <w:rFonts w:ascii="GHEA Grapalat" w:eastAsia="Calibri" w:hAnsi="GHEA Grapalat" w:cs="Sylfaen"/>
          <w:sz w:val="22"/>
          <w:szCs w:val="22"/>
        </w:rPr>
        <w:t xml:space="preserve">նպաստումը՝ </w:t>
      </w:r>
      <w:r w:rsidR="00A65F7F" w:rsidRPr="00F564B2">
        <w:rPr>
          <w:rFonts w:ascii="GHEA Grapalat" w:eastAsia="Calibri" w:hAnsi="GHEA Grapalat" w:cs="Sylfaen"/>
          <w:sz w:val="22"/>
          <w:szCs w:val="22"/>
        </w:rPr>
        <w:t>-0.</w:t>
      </w:r>
      <w:r w:rsidR="00A65F7F">
        <w:rPr>
          <w:rFonts w:ascii="GHEA Grapalat" w:eastAsia="Calibri" w:hAnsi="GHEA Grapalat" w:cs="Sylfaen"/>
          <w:sz w:val="22"/>
          <w:szCs w:val="22"/>
          <w:lang w:val="en-US"/>
        </w:rPr>
        <w:t>9</w:t>
      </w:r>
      <w:r w:rsidRPr="00345A1C">
        <w:rPr>
          <w:rFonts w:ascii="GHEA Grapalat" w:eastAsia="Calibri" w:hAnsi="GHEA Grapalat" w:cs="Sylfaen"/>
          <w:sz w:val="22"/>
          <w:szCs w:val="22"/>
        </w:rPr>
        <w:t xml:space="preserve"> տոկոսային կետ</w:t>
      </w:r>
      <w:r w:rsidRPr="000D162B">
        <w:rPr>
          <w:rFonts w:ascii="GHEA Grapalat" w:eastAsia="Calibri" w:hAnsi="GHEA Grapalat" w:cs="Sylfaen"/>
          <w:sz w:val="22"/>
          <w:szCs w:val="22"/>
        </w:rPr>
        <w:t>)</w:t>
      </w:r>
      <w:r w:rsidRPr="00345A1C">
        <w:rPr>
          <w:rFonts w:ascii="GHEA Grapalat" w:eastAsia="Calibri" w:hAnsi="GHEA Grapalat" w:cs="Sylfaen"/>
          <w:sz w:val="22"/>
          <w:szCs w:val="22"/>
        </w:rPr>
        <w:t>: Միաժամանակ, ոչ ռեզիդենտների ավանդների ընթացիկ ցուցանիշները 2022</w:t>
      </w:r>
      <w:r>
        <w:rPr>
          <w:rFonts w:ascii="GHEA Grapalat" w:eastAsia="Calibri" w:hAnsi="GHEA Grapalat" w:cs="Sylfaen"/>
          <w:sz w:val="22"/>
          <w:szCs w:val="22"/>
        </w:rPr>
        <w:t>թ.</w:t>
      </w:r>
      <w:r w:rsidRPr="00345A1C">
        <w:rPr>
          <w:rFonts w:ascii="GHEA Grapalat" w:eastAsia="Calibri" w:hAnsi="GHEA Grapalat" w:cs="Sylfaen"/>
          <w:sz w:val="22"/>
          <w:szCs w:val="22"/>
        </w:rPr>
        <w:t xml:space="preserve"> փետրվարի ցուցանիշի համեմատ (մինչև ՌԴ-ից մարդկանց ու կապիտալի ներհոսքը դեպի ՀՀ) շարունակում է զգալիորեն բարձր մնալ՝</w:t>
      </w:r>
      <w:r>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 xml:space="preserve">դեկտեմբերի </w:t>
      </w:r>
      <w:r w:rsidRPr="00345A1C">
        <w:rPr>
          <w:rFonts w:ascii="GHEA Grapalat" w:eastAsia="Calibri" w:hAnsi="GHEA Grapalat" w:cs="Sylfaen"/>
          <w:sz w:val="22"/>
          <w:szCs w:val="22"/>
        </w:rPr>
        <w:t>դրությամբ շուրջ</w:t>
      </w:r>
      <w:r>
        <w:rPr>
          <w:rFonts w:ascii="GHEA Grapalat" w:eastAsia="Calibri" w:hAnsi="GHEA Grapalat" w:cs="Sylfaen"/>
          <w:sz w:val="22"/>
          <w:szCs w:val="22"/>
        </w:rPr>
        <w:t xml:space="preserve"> </w:t>
      </w:r>
      <w:r w:rsidRPr="0095006A">
        <w:rPr>
          <w:rFonts w:ascii="GHEA Grapalat" w:eastAsia="Calibri" w:hAnsi="GHEA Grapalat" w:cs="Sylfaen"/>
          <w:sz w:val="22"/>
          <w:szCs w:val="22"/>
        </w:rPr>
        <w:t>81.5</w:t>
      </w:r>
      <w:r w:rsidRPr="00345A1C">
        <w:rPr>
          <w:rFonts w:ascii="GHEA Grapalat" w:eastAsia="Calibri" w:hAnsi="GHEA Grapalat" w:cs="Sylfaen"/>
          <w:sz w:val="22"/>
          <w:szCs w:val="22"/>
        </w:rPr>
        <w:t>%-ով կամ</w:t>
      </w:r>
      <w:r>
        <w:rPr>
          <w:rFonts w:ascii="GHEA Grapalat" w:eastAsia="Calibri" w:hAnsi="GHEA Grapalat" w:cs="Sylfaen"/>
          <w:sz w:val="22"/>
          <w:szCs w:val="22"/>
        </w:rPr>
        <w:t xml:space="preserve"> </w:t>
      </w:r>
      <w:r w:rsidRPr="0095006A">
        <w:rPr>
          <w:rFonts w:ascii="GHEA Grapalat" w:eastAsia="Calibri" w:hAnsi="GHEA Grapalat" w:cs="Sylfaen"/>
          <w:sz w:val="22"/>
          <w:szCs w:val="22"/>
        </w:rPr>
        <w:t>710.4</w:t>
      </w:r>
      <w:r w:rsidRPr="00345A1C">
        <w:rPr>
          <w:rFonts w:ascii="GHEA Grapalat" w:eastAsia="Calibri" w:hAnsi="GHEA Grapalat" w:cs="Sylfaen"/>
          <w:sz w:val="22"/>
          <w:szCs w:val="22"/>
        </w:rPr>
        <w:t xml:space="preserve"> մլրդ դրամով։</w:t>
      </w:r>
    </w:p>
    <w:p w14:paraId="4FF7B3D1" w14:textId="19FD5BE3" w:rsidR="00B33708"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w:t>
      </w:r>
      <w:r w:rsidRPr="00190B6C">
        <w:rPr>
          <w:rFonts w:ascii="GHEA Grapalat" w:eastAsia="Calibri" w:hAnsi="GHEA Grapalat" w:cs="Sylfaen"/>
          <w:sz w:val="22"/>
          <w:szCs w:val="22"/>
        </w:rPr>
        <w:t>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դեկտեմբերին</w:t>
      </w:r>
      <w:r w:rsidRPr="00345A1C">
        <w:rPr>
          <w:rFonts w:ascii="GHEA Grapalat" w:eastAsia="Calibri" w:hAnsi="GHEA Grapalat" w:cs="Sylfaen"/>
          <w:sz w:val="22"/>
          <w:szCs w:val="22"/>
        </w:rPr>
        <w:t xml:space="preserve"> ավանդների դոլարայնացման մակարդակը</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ի համեմատ նախորդ տարվա նույն </w:t>
      </w:r>
      <w:r>
        <w:rPr>
          <w:rFonts w:ascii="GHEA Grapalat" w:eastAsia="Calibri" w:hAnsi="GHEA Grapalat" w:cs="Sylfaen"/>
          <w:sz w:val="22"/>
          <w:szCs w:val="22"/>
        </w:rPr>
        <w:t>ամսվա,</w:t>
      </w:r>
      <w:r w:rsidRPr="00345A1C">
        <w:rPr>
          <w:rFonts w:ascii="GHEA Grapalat" w:eastAsia="Calibri" w:hAnsi="GHEA Grapalat" w:cs="Sylfaen"/>
          <w:sz w:val="22"/>
          <w:szCs w:val="22"/>
        </w:rPr>
        <w:t xml:space="preserve"> նվազել է</w:t>
      </w:r>
      <w:r>
        <w:rPr>
          <w:rFonts w:ascii="GHEA Grapalat" w:eastAsia="Calibri" w:hAnsi="GHEA Grapalat" w:cs="Sylfaen"/>
          <w:sz w:val="22"/>
          <w:szCs w:val="22"/>
        </w:rPr>
        <w:t xml:space="preserve"> </w:t>
      </w:r>
      <w:r w:rsidRPr="0095006A">
        <w:rPr>
          <w:rFonts w:ascii="GHEA Grapalat" w:eastAsia="Calibri" w:hAnsi="GHEA Grapalat" w:cs="Sylfaen"/>
          <w:sz w:val="22"/>
          <w:szCs w:val="22"/>
        </w:rPr>
        <w:t>2.7</w:t>
      </w:r>
      <w:r w:rsidRPr="00345A1C">
        <w:rPr>
          <w:rFonts w:ascii="GHEA Grapalat" w:eastAsia="Calibri" w:hAnsi="GHEA Grapalat" w:cs="Sylfaen"/>
          <w:sz w:val="22"/>
          <w:szCs w:val="22"/>
        </w:rPr>
        <w:t xml:space="preserve"> տոկոսային կետով` կազմելով 4</w:t>
      </w:r>
      <w:r w:rsidRPr="0095006A">
        <w:rPr>
          <w:rFonts w:ascii="GHEA Grapalat" w:eastAsia="Calibri" w:hAnsi="GHEA Grapalat" w:cs="Sylfaen"/>
          <w:sz w:val="22"/>
          <w:szCs w:val="22"/>
        </w:rPr>
        <w:t>3</w:t>
      </w:r>
      <w:r>
        <w:rPr>
          <w:rFonts w:ascii="GHEA Grapalat" w:eastAsia="Calibri" w:hAnsi="GHEA Grapalat" w:cs="Sylfaen"/>
          <w:sz w:val="22"/>
          <w:szCs w:val="22"/>
        </w:rPr>
        <w:t>.</w:t>
      </w:r>
      <w:r w:rsidRPr="0095006A">
        <w:rPr>
          <w:rFonts w:ascii="GHEA Grapalat" w:eastAsia="Calibri" w:hAnsi="GHEA Grapalat" w:cs="Sylfaen"/>
          <w:sz w:val="22"/>
          <w:szCs w:val="22"/>
        </w:rPr>
        <w:t>9</w:t>
      </w:r>
      <w:r w:rsidRPr="00345A1C">
        <w:rPr>
          <w:rFonts w:ascii="GHEA Grapalat" w:eastAsia="Calibri" w:hAnsi="GHEA Grapalat" w:cs="Sylfaen"/>
          <w:sz w:val="22"/>
          <w:szCs w:val="22"/>
        </w:rPr>
        <w:t>%, իսկ վարկերի</w:t>
      </w:r>
      <w:r>
        <w:rPr>
          <w:rFonts w:ascii="GHEA Grapalat" w:eastAsia="Calibri" w:hAnsi="GHEA Grapalat" w:cs="Sylfaen"/>
          <w:sz w:val="22"/>
          <w:szCs w:val="22"/>
        </w:rPr>
        <w:t xml:space="preserve"> </w:t>
      </w:r>
      <w:r w:rsidRPr="00345A1C">
        <w:rPr>
          <w:rFonts w:ascii="GHEA Grapalat" w:eastAsia="Calibri" w:hAnsi="GHEA Grapalat" w:cs="Sylfaen"/>
          <w:sz w:val="22"/>
          <w:szCs w:val="22"/>
        </w:rPr>
        <w:t>դոլարայնացման մակարդակը կազմել</w:t>
      </w:r>
      <w:r>
        <w:rPr>
          <w:rFonts w:ascii="GHEA Grapalat" w:eastAsia="Calibri" w:hAnsi="GHEA Grapalat" w:cs="Sylfaen"/>
          <w:sz w:val="22"/>
          <w:szCs w:val="22"/>
        </w:rPr>
        <w:t xml:space="preserve"> է</w:t>
      </w:r>
      <w:r w:rsidRPr="00345A1C">
        <w:rPr>
          <w:rFonts w:ascii="GHEA Grapalat" w:eastAsia="Calibri" w:hAnsi="GHEA Grapalat" w:cs="Sylfaen"/>
          <w:sz w:val="22"/>
          <w:szCs w:val="22"/>
        </w:rPr>
        <w:t xml:space="preserve"> 3</w:t>
      </w:r>
      <w:r w:rsidR="007420D3">
        <w:rPr>
          <w:rFonts w:ascii="GHEA Grapalat" w:eastAsia="Calibri" w:hAnsi="GHEA Grapalat" w:cs="Sylfaen"/>
          <w:sz w:val="22"/>
          <w:szCs w:val="22"/>
        </w:rPr>
        <w:t>4</w:t>
      </w:r>
      <w:r w:rsidRPr="00345A1C">
        <w:rPr>
          <w:rFonts w:ascii="GHEA Grapalat" w:eastAsia="Calibri" w:hAnsi="GHEA Grapalat" w:cs="Sylfaen"/>
          <w:sz w:val="22"/>
          <w:szCs w:val="22"/>
        </w:rPr>
        <w:t>%</w:t>
      </w:r>
      <w:r>
        <w:rPr>
          <w:rFonts w:ascii="GHEA Grapalat" w:eastAsia="Calibri" w:hAnsi="GHEA Grapalat" w:cs="Sylfaen"/>
          <w:sz w:val="22"/>
          <w:szCs w:val="22"/>
        </w:rPr>
        <w:t>՝ աճելով 1.4 տոկոսային կետով</w:t>
      </w:r>
      <w:r w:rsidRPr="00345A1C">
        <w:rPr>
          <w:rFonts w:ascii="GHEA Grapalat" w:eastAsia="Calibri" w:hAnsi="GHEA Grapalat" w:cs="Sylfaen"/>
          <w:sz w:val="22"/>
          <w:szCs w:val="22"/>
        </w:rPr>
        <w:t xml:space="preserve">: Միայն ռեզիդենտների ցուցանիշները դիտարկելու դեպքում, ավանդների դոլարայնացումը նախորդ տարվա համեմատ նվազել է </w:t>
      </w:r>
      <w:r>
        <w:rPr>
          <w:rFonts w:ascii="GHEA Grapalat" w:eastAsia="Calibri" w:hAnsi="GHEA Grapalat" w:cs="Sylfaen"/>
          <w:sz w:val="22"/>
          <w:szCs w:val="22"/>
        </w:rPr>
        <w:t>2.9</w:t>
      </w:r>
      <w:r w:rsidRPr="00345A1C">
        <w:rPr>
          <w:rFonts w:ascii="GHEA Grapalat" w:eastAsia="Calibri" w:hAnsi="GHEA Grapalat" w:cs="Sylfaen"/>
          <w:sz w:val="22"/>
          <w:szCs w:val="22"/>
        </w:rPr>
        <w:t xml:space="preserve"> տոկոսային կետով՝ կազմելով 3</w:t>
      </w:r>
      <w:r>
        <w:rPr>
          <w:rFonts w:ascii="GHEA Grapalat" w:eastAsia="Calibri" w:hAnsi="GHEA Grapalat" w:cs="Sylfaen"/>
          <w:sz w:val="22"/>
          <w:szCs w:val="22"/>
        </w:rPr>
        <w:t>3.6</w:t>
      </w:r>
      <w:r w:rsidRPr="00345A1C">
        <w:rPr>
          <w:rFonts w:ascii="GHEA Grapalat" w:eastAsia="Calibri" w:hAnsi="GHEA Grapalat" w:cs="Sylfaen"/>
          <w:sz w:val="22"/>
          <w:szCs w:val="22"/>
        </w:rPr>
        <w:t xml:space="preserve">%, իսկ </w:t>
      </w:r>
      <w:r>
        <w:rPr>
          <w:rFonts w:ascii="GHEA Grapalat" w:eastAsia="Calibri" w:hAnsi="GHEA Grapalat" w:cs="Sylfaen"/>
          <w:sz w:val="22"/>
          <w:szCs w:val="22"/>
        </w:rPr>
        <w:t xml:space="preserve">ռեզիդենտների </w:t>
      </w:r>
      <w:r w:rsidRPr="00345A1C">
        <w:rPr>
          <w:rFonts w:ascii="GHEA Grapalat" w:eastAsia="Calibri" w:hAnsi="GHEA Grapalat" w:cs="Sylfaen"/>
          <w:sz w:val="22"/>
          <w:szCs w:val="22"/>
        </w:rPr>
        <w:t xml:space="preserve">վարկերի </w:t>
      </w:r>
      <w:r w:rsidR="005F09B3">
        <w:rPr>
          <w:rFonts w:ascii="GHEA Grapalat" w:eastAsia="Calibri" w:hAnsi="GHEA Grapalat" w:cs="Sylfaen"/>
          <w:sz w:val="22"/>
          <w:szCs w:val="22"/>
        </w:rPr>
        <w:t>դոլարայնացումն</w:t>
      </w:r>
      <w:r w:rsidRPr="00345A1C">
        <w:rPr>
          <w:rFonts w:ascii="GHEA Grapalat" w:eastAsia="Calibri" w:hAnsi="GHEA Grapalat" w:cs="Sylfaen"/>
          <w:sz w:val="22"/>
          <w:szCs w:val="22"/>
        </w:rPr>
        <w:t xml:space="preserve"> </w:t>
      </w:r>
      <w:r>
        <w:rPr>
          <w:rFonts w:ascii="GHEA Grapalat" w:eastAsia="Calibri" w:hAnsi="GHEA Grapalat" w:cs="Sylfaen"/>
          <w:sz w:val="22"/>
          <w:szCs w:val="22"/>
        </w:rPr>
        <w:t>աճել</w:t>
      </w:r>
      <w:r w:rsidRPr="00345A1C">
        <w:rPr>
          <w:rFonts w:ascii="GHEA Grapalat" w:eastAsia="Calibri" w:hAnsi="GHEA Grapalat" w:cs="Sylfaen"/>
          <w:sz w:val="22"/>
          <w:szCs w:val="22"/>
        </w:rPr>
        <w:t xml:space="preserve"> է </w:t>
      </w:r>
      <w:r>
        <w:rPr>
          <w:rFonts w:ascii="GHEA Grapalat" w:eastAsia="Calibri" w:hAnsi="GHEA Grapalat" w:cs="Sylfaen"/>
          <w:sz w:val="22"/>
          <w:szCs w:val="22"/>
        </w:rPr>
        <w:t>0.</w:t>
      </w:r>
      <w:r w:rsidRPr="0095006A">
        <w:rPr>
          <w:rFonts w:ascii="GHEA Grapalat" w:eastAsia="Calibri" w:hAnsi="GHEA Grapalat" w:cs="Sylfaen"/>
          <w:sz w:val="22"/>
          <w:szCs w:val="22"/>
        </w:rPr>
        <w:t>9</w:t>
      </w:r>
      <w:r w:rsidRPr="00345A1C">
        <w:rPr>
          <w:rFonts w:ascii="GHEA Grapalat" w:eastAsia="Calibri" w:hAnsi="GHEA Grapalat" w:cs="Sylfaen"/>
          <w:sz w:val="22"/>
          <w:szCs w:val="22"/>
        </w:rPr>
        <w:t xml:space="preserve"> տոկոսային կետով՝ կազմելով 3</w:t>
      </w:r>
      <w:r w:rsidRPr="00274A1B">
        <w:rPr>
          <w:rFonts w:ascii="GHEA Grapalat" w:eastAsia="Calibri" w:hAnsi="GHEA Grapalat" w:cs="Sylfaen"/>
          <w:sz w:val="22"/>
          <w:szCs w:val="22"/>
        </w:rPr>
        <w:t>2.</w:t>
      </w:r>
      <w:r w:rsidRPr="0095006A">
        <w:rPr>
          <w:rFonts w:ascii="GHEA Grapalat" w:eastAsia="Calibri" w:hAnsi="GHEA Grapalat" w:cs="Sylfaen"/>
          <w:sz w:val="22"/>
          <w:szCs w:val="22"/>
        </w:rPr>
        <w:t>4</w:t>
      </w:r>
      <w:r w:rsidRPr="00345A1C">
        <w:rPr>
          <w:rFonts w:ascii="GHEA Grapalat" w:eastAsia="Calibri" w:hAnsi="GHEA Grapalat" w:cs="Sylfaen"/>
          <w:sz w:val="22"/>
          <w:szCs w:val="22"/>
        </w:rPr>
        <w:t>%։</w:t>
      </w:r>
    </w:p>
    <w:p w14:paraId="6CBA41D3" w14:textId="77777777" w:rsidR="00B33708" w:rsidRPr="00345A1C" w:rsidRDefault="00B33708" w:rsidP="00B33708">
      <w:pPr>
        <w:spacing w:line="276" w:lineRule="auto"/>
        <w:ind w:firstLine="567"/>
        <w:jc w:val="both"/>
        <w:rPr>
          <w:rFonts w:ascii="GHEA Grapalat" w:eastAsia="Calibri" w:hAnsi="GHEA Grapalat" w:cs="Sylfaen"/>
          <w:sz w:val="22"/>
          <w:szCs w:val="22"/>
        </w:rPr>
      </w:pPr>
    </w:p>
    <w:p w14:paraId="407C20E1" w14:textId="77777777" w:rsidR="00B33708" w:rsidRPr="0025536A" w:rsidRDefault="00B33708" w:rsidP="00B33708">
      <w:pPr>
        <w:keepNext/>
        <w:keepLines/>
        <w:tabs>
          <w:tab w:val="left" w:pos="284"/>
          <w:tab w:val="left" w:pos="1560"/>
          <w:tab w:val="left" w:pos="1980"/>
        </w:tabs>
        <w:autoSpaceDE w:val="0"/>
        <w:autoSpaceDN w:val="0"/>
        <w:adjustRightInd w:val="0"/>
        <w:spacing w:line="276" w:lineRule="auto"/>
        <w:jc w:val="both"/>
        <w:rPr>
          <w:rFonts w:ascii="GHEA Grapalat" w:eastAsia="GHEA Grapalat" w:hAnsi="GHEA Grapalat" w:cs="GHEA Grapalat"/>
          <w:b/>
          <w:sz w:val="18"/>
          <w:szCs w:val="18"/>
        </w:rPr>
      </w:pPr>
      <w:r w:rsidRPr="0025536A">
        <w:rPr>
          <w:rFonts w:ascii="GHEA Grapalat" w:eastAsia="GHEA Grapalat" w:hAnsi="GHEA Grapalat" w:cs="GHEA Grapalat"/>
          <w:b/>
          <w:sz w:val="18"/>
          <w:szCs w:val="18"/>
        </w:rPr>
        <w:t>Գծապատկեր 3</w:t>
      </w:r>
      <w:r>
        <w:rPr>
          <w:rFonts w:ascii="GHEA Grapalat" w:eastAsia="GHEA Grapalat" w:hAnsi="GHEA Grapalat" w:cs="GHEA Grapalat"/>
          <w:b/>
          <w:sz w:val="18"/>
          <w:szCs w:val="18"/>
        </w:rPr>
        <w:t>1</w:t>
      </w:r>
      <w:r w:rsidRPr="0025536A">
        <w:rPr>
          <w:rFonts w:ascii="GHEA Grapalat" w:eastAsia="GHEA Grapalat" w:hAnsi="GHEA Grapalat" w:cs="GHEA Grapalat"/>
          <w:b/>
          <w:sz w:val="18"/>
          <w:szCs w:val="18"/>
        </w:rPr>
        <w:t>. ՀՀ բանկերի վարկային և ավանդային պորտֆելները</w:t>
      </w:r>
      <w:r>
        <w:rPr>
          <w:rFonts w:ascii="GHEA Grapalat" w:eastAsia="GHEA Grapalat" w:hAnsi="GHEA Grapalat" w:cs="GHEA Grapalat"/>
          <w:b/>
          <w:sz w:val="18"/>
          <w:szCs w:val="18"/>
        </w:rPr>
        <w:t>, 2021-2025</w:t>
      </w:r>
      <w:r w:rsidRPr="0025536A">
        <w:rPr>
          <w:rFonts w:ascii="GHEA Grapalat" w:eastAsia="GHEA Grapalat" w:hAnsi="GHEA Grapalat" w:cs="GHEA Grapalat"/>
          <w:b/>
          <w:sz w:val="18"/>
          <w:szCs w:val="18"/>
        </w:rPr>
        <w:t>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750640DC" w14:textId="77777777" w:rsidR="00B33708" w:rsidRPr="00345A1C" w:rsidRDefault="00B33708" w:rsidP="00B33708">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50F1B48E" wp14:editId="63A89801">
            <wp:extent cx="3168000" cy="2664000"/>
            <wp:effectExtent l="0" t="0" r="13970" b="317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345A1C">
        <w:rPr>
          <w:rFonts w:ascii="GHEA Grapalat" w:eastAsia="Calibri" w:hAnsi="GHEA Grapalat" w:cs="Sylfaen"/>
          <w:sz w:val="22"/>
          <w:szCs w:val="22"/>
          <w:lang w:val="en-US"/>
        </w:rPr>
        <w:drawing>
          <wp:inline distT="0" distB="0" distL="0" distR="0" wp14:anchorId="55DC5832" wp14:editId="01305D58">
            <wp:extent cx="3168000" cy="2664000"/>
            <wp:effectExtent l="0" t="0" r="13970" b="317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BF3320F" w14:textId="77777777" w:rsidR="00B33708" w:rsidRPr="00BC2C75" w:rsidRDefault="00B33708" w:rsidP="00B33708">
      <w:pPr>
        <w:spacing w:line="276" w:lineRule="auto"/>
        <w:jc w:val="both"/>
        <w:rPr>
          <w:rFonts w:ascii="GHEA Grapalat" w:eastAsia="Calibri" w:hAnsi="GHEA Grapalat" w:cs="Sylfaen"/>
          <w:i/>
          <w:iCs/>
          <w:sz w:val="16"/>
          <w:szCs w:val="16"/>
        </w:rPr>
      </w:pPr>
      <w:r w:rsidRPr="00BC2C75">
        <w:rPr>
          <w:rFonts w:ascii="GHEA Grapalat" w:hAnsi="GHEA Grapalat"/>
          <w:i/>
          <w:iCs/>
          <w:sz w:val="16"/>
          <w:szCs w:val="16"/>
        </w:rPr>
        <w:t>Աղբյուրը՝ ՀՀ ԿԲ, ՀՀ ՖՆ հաշվարկներ</w:t>
      </w:r>
    </w:p>
    <w:p w14:paraId="0BD41FED" w14:textId="77777777" w:rsidR="00B33708" w:rsidRPr="008F473A" w:rsidRDefault="00B33708" w:rsidP="00B33708">
      <w:pPr>
        <w:spacing w:line="276" w:lineRule="auto"/>
        <w:ind w:firstLine="567"/>
        <w:jc w:val="both"/>
        <w:rPr>
          <w:rFonts w:ascii="GHEA Grapalat" w:eastAsia="Calibri" w:hAnsi="GHEA Grapalat" w:cs="Sylfaen"/>
          <w:sz w:val="22"/>
          <w:szCs w:val="22"/>
        </w:rPr>
      </w:pPr>
    </w:p>
    <w:p w14:paraId="63D97C98" w14:textId="5B72F772" w:rsidR="00B33708" w:rsidRPr="00345A1C" w:rsidRDefault="00B33708" w:rsidP="00B33708">
      <w:pPr>
        <w:spacing w:line="276" w:lineRule="auto"/>
        <w:ind w:firstLine="567"/>
        <w:jc w:val="both"/>
        <w:rPr>
          <w:rFonts w:ascii="GHEA Grapalat" w:eastAsia="Calibri" w:hAnsi="GHEA Grapalat" w:cs="Sylfaen"/>
          <w:sz w:val="22"/>
          <w:szCs w:val="22"/>
        </w:rPr>
      </w:pPr>
      <w:r w:rsidRPr="003E65BA">
        <w:rPr>
          <w:rFonts w:ascii="GHEA Grapalat" w:eastAsia="Calibri" w:hAnsi="GHEA Grapalat" w:cs="Sylfaen"/>
          <w:b/>
          <w:i/>
          <w:sz w:val="22"/>
          <w:szCs w:val="22"/>
        </w:rPr>
        <w:t>Վարկերի և ավանդների տոկոսադրույքներ:</w:t>
      </w:r>
      <w:r w:rsidRPr="003E65BA">
        <w:rPr>
          <w:rFonts w:ascii="GHEA Grapalat" w:eastAsia="Calibri" w:hAnsi="GHEA Grapalat" w:cs="Sylfaen"/>
          <w:sz w:val="22"/>
          <w:szCs w:val="22"/>
        </w:rPr>
        <w:t xml:space="preserve"> Ավանդների տոկոսադրույքները հիմնականում գտնվել են իրենց միջին մակարդակների շուրջ, իսկ վարկերի տոկոսադրույքները, առանձին դեպքերում պահանջարկի ազդեցությամբ, որոշակիորեն աճել են։ Ընդ որում, </w:t>
      </w:r>
      <w:r w:rsidR="00FC0410">
        <w:rPr>
          <w:rFonts w:ascii="GHEA Grapalat" w:eastAsia="Calibri" w:hAnsi="GHEA Grapalat" w:cs="Sylfaen"/>
          <w:sz w:val="22"/>
          <w:szCs w:val="22"/>
        </w:rPr>
        <w:t>հիպոտեկ</w:t>
      </w:r>
      <w:r w:rsidRPr="003E65BA">
        <w:rPr>
          <w:rFonts w:ascii="GHEA Grapalat" w:eastAsia="Calibri" w:hAnsi="GHEA Grapalat" w:cs="Sylfaen"/>
          <w:sz w:val="22"/>
          <w:szCs w:val="22"/>
        </w:rPr>
        <w:t>ային և սպառողական վարկերի տոկոսադրույքները կայուն են եղել։</w:t>
      </w:r>
      <w:r w:rsidRPr="008F473A">
        <w:rPr>
          <w:rFonts w:ascii="GHEA Grapalat" w:eastAsia="Calibri" w:hAnsi="GHEA Grapalat" w:cs="Sylfaen"/>
          <w:sz w:val="22"/>
          <w:szCs w:val="22"/>
        </w:rPr>
        <w:t xml:space="preserve"> </w:t>
      </w:r>
      <w:r>
        <w:rPr>
          <w:rFonts w:ascii="GHEA Grapalat" w:eastAsia="Calibri" w:hAnsi="GHEA Grapalat" w:cs="Sylfaen"/>
          <w:sz w:val="22"/>
          <w:szCs w:val="22"/>
        </w:rPr>
        <w:t>2025թ. դեկտեմբերի դրությամբ ՀՀ դրամով վարկավորման (մինչև մեկ տարի ժամկետով) միջին տարեկան տոկոսադրույքը կազմել է 13.8%՝ նախորդ տարվա համեմատ աճելով 0.6 տոկոսային կետով: ՀՀ դրամային ավանդների (մինչև մեկ տարի ժամկետով) միջին տարեկան տոկոսադրույքը դեկտեմբերին կազմել է</w:t>
      </w:r>
      <w:r w:rsidR="00C04A32">
        <w:rPr>
          <w:rFonts w:ascii="GHEA Grapalat" w:eastAsia="Calibri" w:hAnsi="GHEA Grapalat" w:cs="Sylfaen"/>
          <w:sz w:val="22"/>
          <w:szCs w:val="22"/>
        </w:rPr>
        <w:t xml:space="preserve"> 8</w:t>
      </w:r>
      <w:r>
        <w:rPr>
          <w:rFonts w:ascii="GHEA Grapalat" w:eastAsia="Calibri" w:hAnsi="GHEA Grapalat" w:cs="Sylfaen"/>
          <w:sz w:val="22"/>
          <w:szCs w:val="22"/>
        </w:rPr>
        <w:t>%՝ նախորդ տարվա նկատմամբ նվազելով 0.1 տոկոսային կետով</w:t>
      </w:r>
      <w:r w:rsidRPr="00345A1C">
        <w:rPr>
          <w:rFonts w:ascii="GHEA Grapalat" w:eastAsia="Calibri" w:hAnsi="GHEA Grapalat" w:cs="Sylfaen"/>
          <w:sz w:val="22"/>
          <w:szCs w:val="22"/>
        </w:rPr>
        <w:t>:</w:t>
      </w:r>
      <w:r w:rsidRPr="00345A1C">
        <w:rPr>
          <w:rFonts w:ascii="GHEA Grapalat" w:eastAsia="Calibri" w:hAnsi="GHEA Grapalat" w:cs="Sylfaen"/>
          <w:sz w:val="22"/>
          <w:szCs w:val="22"/>
        </w:rPr>
        <w:tab/>
      </w:r>
    </w:p>
    <w:p w14:paraId="298DC796" w14:textId="7E6DF724" w:rsidR="00B33708" w:rsidRPr="00345A1C" w:rsidRDefault="00B33708" w:rsidP="00B3370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lastRenderedPageBreak/>
        <w:t xml:space="preserve">Արտարժույթով ավանդների (մինչև մեկ տարի ժամկետով) տոկոսադրույքը նախորդ տարվա համեմատությամբ մնացել է անփոփոխ՝ կազմելով 2.5%, իսկ վարկերի (մինչև մեկ տարի ժամկետով) տոկոսադրույքը կազմել է </w:t>
      </w:r>
      <w:r>
        <w:rPr>
          <w:rFonts w:ascii="GHEA Grapalat" w:eastAsia="Calibri" w:hAnsi="GHEA Grapalat" w:cs="Sylfaen"/>
          <w:sz w:val="22"/>
          <w:szCs w:val="22"/>
        </w:rPr>
        <w:t>8</w:t>
      </w:r>
      <w:r w:rsidRPr="00345A1C">
        <w:rPr>
          <w:rFonts w:ascii="GHEA Grapalat" w:eastAsia="Calibri" w:hAnsi="GHEA Grapalat" w:cs="Sylfaen"/>
          <w:sz w:val="22"/>
          <w:szCs w:val="22"/>
        </w:rPr>
        <w:t xml:space="preserve">%՝ </w:t>
      </w:r>
      <w:r>
        <w:rPr>
          <w:rFonts w:ascii="GHEA Grapalat" w:eastAsia="Calibri" w:hAnsi="GHEA Grapalat" w:cs="Sylfaen"/>
          <w:sz w:val="22"/>
          <w:szCs w:val="22"/>
        </w:rPr>
        <w:t>աճելով</w:t>
      </w:r>
      <w:r w:rsidRPr="00345A1C">
        <w:rPr>
          <w:rFonts w:ascii="GHEA Grapalat" w:eastAsia="Calibri" w:hAnsi="GHEA Grapalat" w:cs="Sylfaen"/>
          <w:sz w:val="22"/>
          <w:szCs w:val="22"/>
        </w:rPr>
        <w:t xml:space="preserve"> 0.</w:t>
      </w:r>
      <w:r>
        <w:rPr>
          <w:rFonts w:ascii="GHEA Grapalat" w:eastAsia="Calibri" w:hAnsi="GHEA Grapalat" w:cs="Sylfaen"/>
          <w:sz w:val="22"/>
          <w:szCs w:val="22"/>
        </w:rPr>
        <w:t>3</w:t>
      </w:r>
      <w:r w:rsidRPr="00345A1C">
        <w:rPr>
          <w:rFonts w:ascii="GHEA Grapalat" w:eastAsia="Calibri" w:hAnsi="GHEA Grapalat" w:cs="Sylfaen"/>
          <w:sz w:val="22"/>
          <w:szCs w:val="22"/>
        </w:rPr>
        <w:t xml:space="preserve"> տոկոսային կետով:</w:t>
      </w:r>
    </w:p>
    <w:p w14:paraId="3F2E7C57" w14:textId="67169CEC" w:rsidR="00B33708" w:rsidRPr="00345A1C"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Ֆինանսական շուկայում արտարժույթով և դրամով միջին կշռված (մինչև 1 տարի ժամկետով) տոկոսադրույքների միջև միջին սպրեդը 2025թ. դեկտեմբերին նախորդ տարվա նույն ամսվա նկատմամբ մնացել է անփոփոխ՝ 6.1%: Դրամով վարկերի և ավանդների միջև տոկոսադրույքների սպրեդը կազմել է 5.4%՝ աճելով 0.4 տոկոսային կետով, իսկ արտարժույթով վարկերի և ավանդների տոկոսադրույքների միջև սպրեդ</w:t>
      </w:r>
      <w:r w:rsidR="00524F6D" w:rsidRPr="00B06C86">
        <w:rPr>
          <w:rFonts w:ascii="GHEA Grapalat" w:eastAsia="Calibri" w:hAnsi="GHEA Grapalat" w:cs="Sylfaen"/>
          <w:sz w:val="22"/>
          <w:szCs w:val="22"/>
        </w:rPr>
        <w:t>ն</w:t>
      </w:r>
      <w:r>
        <w:rPr>
          <w:rFonts w:ascii="GHEA Grapalat" w:eastAsia="Calibri" w:hAnsi="GHEA Grapalat" w:cs="Sylfaen"/>
          <w:sz w:val="22"/>
          <w:szCs w:val="22"/>
        </w:rPr>
        <w:t xml:space="preserve"> աճել է 0.</w:t>
      </w:r>
      <w:r w:rsidRPr="0095006A">
        <w:rPr>
          <w:rFonts w:ascii="GHEA Grapalat" w:eastAsia="Calibri" w:hAnsi="GHEA Grapalat" w:cs="Sylfaen"/>
          <w:sz w:val="22"/>
          <w:szCs w:val="22"/>
        </w:rPr>
        <w:t>7</w:t>
      </w:r>
      <w:r>
        <w:rPr>
          <w:rFonts w:ascii="GHEA Grapalat" w:eastAsia="Calibri" w:hAnsi="GHEA Grapalat" w:cs="Sylfaen"/>
          <w:sz w:val="22"/>
          <w:szCs w:val="22"/>
        </w:rPr>
        <w:t xml:space="preserve"> տոկոսային կետով՝ կազմելով 5.8</w:t>
      </w:r>
      <w:r w:rsidRPr="00345A1C">
        <w:rPr>
          <w:rFonts w:ascii="GHEA Grapalat" w:eastAsia="Calibri" w:hAnsi="GHEA Grapalat" w:cs="Sylfaen"/>
          <w:sz w:val="22"/>
          <w:szCs w:val="22"/>
        </w:rPr>
        <w:t>%:</w:t>
      </w:r>
    </w:p>
    <w:p w14:paraId="7564EDF1" w14:textId="072065F8" w:rsidR="00B33708" w:rsidRPr="00345A1C" w:rsidRDefault="00B33708" w:rsidP="00B33708">
      <w:pPr>
        <w:spacing w:line="276" w:lineRule="auto"/>
        <w:ind w:firstLine="567"/>
        <w:jc w:val="both"/>
        <w:rPr>
          <w:rFonts w:ascii="GHEA Grapalat" w:eastAsia="Calibri" w:hAnsi="GHEA Grapalat" w:cs="Sylfaen"/>
          <w:sz w:val="22"/>
          <w:szCs w:val="22"/>
        </w:rPr>
      </w:pPr>
      <w:r w:rsidRPr="00732600">
        <w:rPr>
          <w:rFonts w:ascii="GHEA Grapalat" w:eastAsia="Calibri" w:hAnsi="GHEA Grapalat" w:cs="Sylfaen"/>
          <w:b/>
          <w:i/>
          <w:sz w:val="22"/>
          <w:szCs w:val="22"/>
        </w:rPr>
        <w:t>ՀՀ պետական պարտատոմսերի շուկա:</w:t>
      </w:r>
      <w:r w:rsidRPr="00732600">
        <w:rPr>
          <w:rFonts w:ascii="GHEA Grapalat" w:eastAsia="Calibri" w:hAnsi="GHEA Grapalat" w:cs="Sylfaen"/>
          <w:sz w:val="22"/>
          <w:szCs w:val="22"/>
        </w:rPr>
        <w:t xml:space="preserve"> ՀՀ պետական պարտատոմսերի շուկայում տեղաբաշխման միջին կշռված եկամտաբերությունները շարունակել են նվազել` մեծապես պայմանավորված ՀՀ ԿԲ կողմից դրամավարկային պայմանների մեղմացման հետաձգված ազդեցություններով և ՀՀ երկրի ռիսկի հավելավճարի նվազմամբ, որը զուգակցվել է պարտատոմսերի պահանջարկի աճի հետ։ </w:t>
      </w:r>
      <w:r>
        <w:rPr>
          <w:rFonts w:ascii="GHEA Grapalat" w:eastAsia="Calibri" w:hAnsi="GHEA Grapalat" w:cs="Sylfaen"/>
          <w:sz w:val="22"/>
          <w:szCs w:val="22"/>
        </w:rPr>
        <w:t>2025թ. ընթացքում տեղաբաշխված պետական պարտատոմսերի միջին կշռված եկամտաբերությունը կազմել է 9.</w:t>
      </w:r>
      <w:r w:rsidRPr="0095006A">
        <w:rPr>
          <w:rFonts w:ascii="GHEA Grapalat" w:eastAsia="Calibri" w:hAnsi="GHEA Grapalat" w:cs="Sylfaen"/>
          <w:sz w:val="22"/>
          <w:szCs w:val="22"/>
        </w:rPr>
        <w:t>2</w:t>
      </w:r>
      <w:r>
        <w:rPr>
          <w:rFonts w:ascii="GHEA Grapalat" w:eastAsia="Calibri" w:hAnsi="GHEA Grapalat" w:cs="Sylfaen"/>
          <w:sz w:val="22"/>
          <w:szCs w:val="22"/>
        </w:rPr>
        <w:t>% կամ 0.</w:t>
      </w:r>
      <w:r w:rsidRPr="0095006A">
        <w:rPr>
          <w:rFonts w:ascii="GHEA Grapalat" w:eastAsia="Calibri" w:hAnsi="GHEA Grapalat" w:cs="Sylfaen"/>
          <w:sz w:val="22"/>
          <w:szCs w:val="22"/>
        </w:rPr>
        <w:t>6</w:t>
      </w:r>
      <w:r>
        <w:rPr>
          <w:rFonts w:ascii="GHEA Grapalat" w:eastAsia="Calibri" w:hAnsi="GHEA Grapalat" w:cs="Sylfaen"/>
          <w:sz w:val="22"/>
          <w:szCs w:val="22"/>
        </w:rPr>
        <w:t xml:space="preserve"> տոկոսային կետով ավելի ցածր, քան 2024թ. (9.</w:t>
      </w:r>
      <w:r w:rsidRPr="0095006A">
        <w:rPr>
          <w:rFonts w:ascii="GHEA Grapalat" w:eastAsia="Calibri" w:hAnsi="GHEA Grapalat" w:cs="Sylfaen"/>
          <w:sz w:val="22"/>
          <w:szCs w:val="22"/>
        </w:rPr>
        <w:t>8</w:t>
      </w:r>
      <w:r>
        <w:rPr>
          <w:rFonts w:ascii="GHEA Grapalat" w:eastAsia="Calibri" w:hAnsi="GHEA Grapalat" w:cs="Sylfaen"/>
          <w:sz w:val="22"/>
          <w:szCs w:val="22"/>
        </w:rPr>
        <w:t>%</w:t>
      </w:r>
      <w:r w:rsidRPr="00345A1C">
        <w:rPr>
          <w:rFonts w:ascii="GHEA Grapalat" w:eastAsia="Calibri" w:hAnsi="GHEA Grapalat" w:cs="Sylfaen"/>
          <w:sz w:val="22"/>
          <w:szCs w:val="22"/>
        </w:rPr>
        <w:t>):</w:t>
      </w:r>
    </w:p>
    <w:p w14:paraId="3C093CAC" w14:textId="77777777" w:rsidR="00B33708" w:rsidRPr="00345A1C"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w:t>
      </w:r>
      <w:r w:rsidRPr="0095006A">
        <w:rPr>
          <w:rFonts w:ascii="GHEA Grapalat" w:eastAsia="Calibri" w:hAnsi="GHEA Grapalat" w:cs="Sylfaen"/>
          <w:sz w:val="22"/>
          <w:szCs w:val="22"/>
        </w:rPr>
        <w:t>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տեղաբաշխված պետական պարտատոմսերի ծավալը կազմել է 6</w:t>
      </w:r>
      <w:r w:rsidRPr="0095006A">
        <w:rPr>
          <w:rFonts w:ascii="GHEA Grapalat" w:eastAsia="Calibri" w:hAnsi="GHEA Grapalat" w:cs="Sylfaen"/>
          <w:sz w:val="22"/>
          <w:szCs w:val="22"/>
        </w:rPr>
        <w:t>91</w:t>
      </w:r>
      <w:r w:rsidRPr="00345A1C">
        <w:rPr>
          <w:rFonts w:ascii="GHEA Grapalat" w:eastAsia="Calibri" w:hAnsi="GHEA Grapalat" w:cs="Sylfaen"/>
          <w:sz w:val="22"/>
          <w:szCs w:val="22"/>
        </w:rPr>
        <w:t xml:space="preserve"> մլրդ դրամ՝</w:t>
      </w:r>
      <w:r>
        <w:rPr>
          <w:rFonts w:ascii="GHEA Grapalat" w:eastAsia="Calibri" w:hAnsi="GHEA Grapalat" w:cs="Sylfaen"/>
          <w:sz w:val="22"/>
          <w:szCs w:val="22"/>
        </w:rPr>
        <w:t xml:space="preserve"> 202</w:t>
      </w:r>
      <w:r w:rsidRPr="0095006A">
        <w:rPr>
          <w:rFonts w:ascii="GHEA Grapalat" w:eastAsia="Calibri" w:hAnsi="GHEA Grapalat" w:cs="Sylfaen"/>
          <w:sz w:val="22"/>
          <w:szCs w:val="22"/>
        </w:rPr>
        <w:t>4</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6</w:t>
      </w:r>
      <w:r w:rsidRPr="0095006A">
        <w:rPr>
          <w:rFonts w:ascii="GHEA Grapalat" w:eastAsia="Calibri" w:hAnsi="GHEA Grapalat" w:cs="Sylfaen"/>
          <w:sz w:val="22"/>
          <w:szCs w:val="22"/>
        </w:rPr>
        <w:t>56</w:t>
      </w:r>
      <w:r w:rsidRPr="00345A1C">
        <w:rPr>
          <w:rFonts w:ascii="GHEA Grapalat" w:eastAsia="Calibri" w:hAnsi="GHEA Grapalat" w:cs="Sylfaen"/>
          <w:sz w:val="22"/>
          <w:szCs w:val="22"/>
        </w:rPr>
        <w:t xml:space="preserve"> մլրդ դրամի դիմաց, իսկ տեղաբաշխման միջին կշռված ժամկետայնությունը կազմել է </w:t>
      </w:r>
      <w:r w:rsidRPr="0095006A">
        <w:rPr>
          <w:rFonts w:ascii="GHEA Grapalat" w:eastAsia="Calibri" w:hAnsi="GHEA Grapalat" w:cs="Sylfaen"/>
          <w:sz w:val="22"/>
          <w:szCs w:val="22"/>
        </w:rPr>
        <w:t>2007</w:t>
      </w:r>
      <w:r w:rsidRPr="00345A1C">
        <w:rPr>
          <w:rFonts w:ascii="GHEA Grapalat" w:eastAsia="Calibri" w:hAnsi="GHEA Grapalat" w:cs="Sylfaen"/>
          <w:sz w:val="22"/>
          <w:szCs w:val="22"/>
        </w:rPr>
        <w:t xml:space="preserve"> օր՝</w:t>
      </w:r>
      <w:r>
        <w:rPr>
          <w:rFonts w:ascii="GHEA Grapalat" w:eastAsia="Calibri" w:hAnsi="GHEA Grapalat" w:cs="Sylfaen"/>
          <w:sz w:val="22"/>
          <w:szCs w:val="22"/>
        </w:rPr>
        <w:t xml:space="preserve"> 202</w:t>
      </w:r>
      <w:r w:rsidRPr="0095006A">
        <w:rPr>
          <w:rFonts w:ascii="GHEA Grapalat" w:eastAsia="Calibri" w:hAnsi="GHEA Grapalat" w:cs="Sylfaen"/>
          <w:sz w:val="22"/>
          <w:szCs w:val="22"/>
        </w:rPr>
        <w:t>4</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sidRPr="0095006A">
        <w:rPr>
          <w:rFonts w:ascii="GHEA Grapalat" w:eastAsia="GHEA Grapalat" w:hAnsi="GHEA Grapalat" w:cs="GHEA Grapalat"/>
          <w:sz w:val="22"/>
          <w:szCs w:val="22"/>
        </w:rPr>
        <w:t>1771</w:t>
      </w:r>
      <w:r w:rsidRPr="00345A1C">
        <w:rPr>
          <w:rFonts w:ascii="GHEA Grapalat" w:eastAsia="GHEA Grapalat" w:hAnsi="GHEA Grapalat" w:cs="GHEA Grapalat"/>
          <w:sz w:val="22"/>
          <w:szCs w:val="22"/>
        </w:rPr>
        <w:t xml:space="preserve"> </w:t>
      </w:r>
      <w:r w:rsidRPr="00345A1C">
        <w:rPr>
          <w:rFonts w:ascii="GHEA Grapalat" w:eastAsia="Calibri" w:hAnsi="GHEA Grapalat" w:cs="Sylfaen"/>
          <w:sz w:val="22"/>
          <w:szCs w:val="22"/>
        </w:rPr>
        <w:t>օր ցուցանիշի համեմատ:</w:t>
      </w:r>
    </w:p>
    <w:p w14:paraId="496971B8" w14:textId="77777777" w:rsidR="00B33708"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w:t>
      </w:r>
      <w:r w:rsidRPr="0095006A">
        <w:rPr>
          <w:rFonts w:ascii="GHEA Grapalat" w:eastAsia="Calibri" w:hAnsi="GHEA Grapalat" w:cs="Sylfaen"/>
          <w:sz w:val="22"/>
          <w:szCs w:val="22"/>
        </w:rPr>
        <w:t>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պետական (շուկայական) պարտատոմսերի նկատմամբ պահանջարկը գերազանցել է տեղաբաշխման ցուցանիշը </w:t>
      </w:r>
      <w:r w:rsidRPr="0095006A">
        <w:rPr>
          <w:rFonts w:ascii="GHEA Grapalat" w:eastAsia="Calibri" w:hAnsi="GHEA Grapalat" w:cs="Sylfaen"/>
          <w:sz w:val="22"/>
          <w:szCs w:val="22"/>
        </w:rPr>
        <w:t>2.2</w:t>
      </w:r>
      <w:r w:rsidRPr="00345A1C">
        <w:rPr>
          <w:rFonts w:ascii="GHEA Grapalat" w:eastAsia="Calibri" w:hAnsi="GHEA Grapalat" w:cs="Sylfaen"/>
          <w:sz w:val="22"/>
          <w:szCs w:val="22"/>
        </w:rPr>
        <w:t xml:space="preserve"> անգամ</w:t>
      </w:r>
      <w:r>
        <w:rPr>
          <w:rFonts w:ascii="GHEA Grapalat" w:eastAsia="Calibri" w:hAnsi="GHEA Grapalat" w:cs="Sylfaen"/>
          <w:sz w:val="22"/>
          <w:szCs w:val="22"/>
        </w:rPr>
        <w:t xml:space="preserve"> (202</w:t>
      </w:r>
      <w:r w:rsidRPr="0095006A">
        <w:rPr>
          <w:rFonts w:ascii="GHEA Grapalat" w:eastAsia="Calibri" w:hAnsi="GHEA Grapalat" w:cs="Sylfaen"/>
          <w:sz w:val="22"/>
          <w:szCs w:val="22"/>
        </w:rPr>
        <w:t>4</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sidRPr="0095006A">
        <w:rPr>
          <w:rFonts w:ascii="GHEA Grapalat" w:eastAsia="Calibri" w:hAnsi="GHEA Grapalat" w:cs="Sylfaen"/>
          <w:sz w:val="22"/>
          <w:szCs w:val="22"/>
        </w:rPr>
        <w:t>1.7</w:t>
      </w:r>
      <w:r w:rsidRPr="00345A1C">
        <w:rPr>
          <w:rFonts w:ascii="GHEA Grapalat" w:eastAsia="Calibri" w:hAnsi="GHEA Grapalat" w:cs="Sylfaen"/>
          <w:sz w:val="22"/>
          <w:szCs w:val="22"/>
        </w:rPr>
        <w:t xml:space="preserve"> անգամ), իսկ տեղաբաշխման ենթակա ծավալ/տեղաբաշխված ծավալ միջին հարաբերակցությունը կազմել է 1.</w:t>
      </w:r>
      <w:r w:rsidRPr="0095006A">
        <w:rPr>
          <w:rFonts w:ascii="GHEA Grapalat" w:eastAsia="Calibri" w:hAnsi="GHEA Grapalat" w:cs="Sylfaen"/>
          <w:sz w:val="22"/>
          <w:szCs w:val="22"/>
        </w:rPr>
        <w:t>1</w:t>
      </w:r>
      <w:r w:rsidRPr="00345A1C">
        <w:rPr>
          <w:rFonts w:ascii="GHEA Grapalat" w:eastAsia="Calibri" w:hAnsi="GHEA Grapalat" w:cs="Sylfaen"/>
          <w:sz w:val="22"/>
          <w:szCs w:val="22"/>
        </w:rPr>
        <w:t xml:space="preserve">` </w:t>
      </w:r>
      <w:r>
        <w:rPr>
          <w:rFonts w:ascii="GHEA Grapalat" w:eastAsia="Calibri" w:hAnsi="GHEA Grapalat" w:cs="Sylfaen"/>
          <w:sz w:val="22"/>
          <w:szCs w:val="22"/>
        </w:rPr>
        <w:t>փոքր-ինչ նվազելով նախորդ տարվա համեմատ</w:t>
      </w:r>
      <w:r w:rsidRPr="00345A1C">
        <w:rPr>
          <w:rFonts w:ascii="GHEA Grapalat" w:eastAsia="Calibri" w:hAnsi="GHEA Grapalat" w:cs="Sylfaen"/>
          <w:sz w:val="22"/>
          <w:szCs w:val="22"/>
        </w:rPr>
        <w:t>։</w:t>
      </w:r>
    </w:p>
    <w:p w14:paraId="6D3C7483" w14:textId="77777777" w:rsidR="00B33708" w:rsidRPr="00345A1C" w:rsidRDefault="00B33708" w:rsidP="00B33708">
      <w:pPr>
        <w:spacing w:line="276" w:lineRule="auto"/>
        <w:ind w:firstLine="567"/>
        <w:jc w:val="both"/>
        <w:rPr>
          <w:rFonts w:ascii="GHEA Grapalat" w:eastAsia="Calibri" w:hAnsi="GHEA Grapalat" w:cs="Sylfaen"/>
          <w:sz w:val="22"/>
          <w:szCs w:val="22"/>
        </w:rPr>
      </w:pPr>
    </w:p>
    <w:p w14:paraId="434EA92B" w14:textId="77777777" w:rsidR="00B33708" w:rsidRPr="0025536A" w:rsidRDefault="00B33708" w:rsidP="00B33708">
      <w:pPr>
        <w:keepNext/>
        <w:keepLines/>
        <w:tabs>
          <w:tab w:val="left" w:pos="284"/>
          <w:tab w:val="left" w:pos="1560"/>
          <w:tab w:val="left" w:pos="1980"/>
        </w:tabs>
        <w:autoSpaceDE w:val="0"/>
        <w:autoSpaceDN w:val="0"/>
        <w:adjustRightInd w:val="0"/>
        <w:spacing w:line="276" w:lineRule="auto"/>
        <w:jc w:val="both"/>
        <w:rPr>
          <w:rFonts w:ascii="GHEA Grapalat" w:eastAsia="Calibri" w:hAnsi="GHEA Grapalat" w:cs="GHEA Grapalat"/>
          <w:b/>
          <w:sz w:val="18"/>
          <w:szCs w:val="18"/>
        </w:rPr>
      </w:pPr>
      <w:r w:rsidRPr="0025536A">
        <w:rPr>
          <w:rFonts w:ascii="GHEA Grapalat" w:eastAsia="GHEA Grapalat" w:hAnsi="GHEA Grapalat" w:cs="GHEA Grapalat"/>
          <w:b/>
          <w:sz w:val="18"/>
          <w:szCs w:val="18"/>
        </w:rPr>
        <w:t>Գծապատկեր 3</w:t>
      </w:r>
      <w:r>
        <w:rPr>
          <w:rFonts w:ascii="GHEA Grapalat" w:eastAsia="GHEA Grapalat" w:hAnsi="GHEA Grapalat" w:cs="GHEA Grapalat"/>
          <w:b/>
          <w:sz w:val="18"/>
          <w:szCs w:val="18"/>
        </w:rPr>
        <w:t>2</w:t>
      </w:r>
      <w:r w:rsidRPr="0025536A">
        <w:rPr>
          <w:rFonts w:ascii="GHEA Grapalat" w:eastAsia="GHEA Grapalat" w:hAnsi="GHEA Grapalat" w:cs="GHEA Grapalat"/>
          <w:b/>
          <w:sz w:val="18"/>
          <w:szCs w:val="18"/>
        </w:rPr>
        <w:t>. ՀՀ</w:t>
      </w:r>
      <w:r>
        <w:rPr>
          <w:rFonts w:ascii="GHEA Grapalat" w:eastAsia="GHEA Grapalat" w:hAnsi="GHEA Grapalat" w:cs="GHEA Grapalat"/>
          <w:b/>
          <w:sz w:val="18"/>
          <w:szCs w:val="18"/>
        </w:rPr>
        <w:t xml:space="preserve"> </w:t>
      </w:r>
      <w:r w:rsidRPr="0025536A">
        <w:rPr>
          <w:rFonts w:ascii="GHEA Grapalat" w:eastAsia="GHEA Grapalat" w:hAnsi="GHEA Grapalat" w:cs="GHEA Grapalat"/>
          <w:b/>
          <w:sz w:val="18"/>
          <w:szCs w:val="18"/>
        </w:rPr>
        <w:t>պետական պարտատոմսերի առաջնային շուկայի զարգացումները</w:t>
      </w:r>
      <w:r>
        <w:rPr>
          <w:rFonts w:ascii="GHEA Grapalat" w:eastAsia="GHEA Grapalat" w:hAnsi="GHEA Grapalat" w:cs="GHEA Grapalat"/>
          <w:b/>
          <w:sz w:val="18"/>
          <w:szCs w:val="18"/>
        </w:rPr>
        <w:t xml:space="preserve"> 2021-2025</w:t>
      </w:r>
      <w:r w:rsidRPr="0025536A">
        <w:rPr>
          <w:rFonts w:ascii="GHEA Grapalat" w:eastAsia="GHEA Grapalat" w:hAnsi="GHEA Grapalat" w:cs="GHEA Grapalat"/>
          <w:b/>
          <w:sz w:val="18"/>
          <w:szCs w:val="18"/>
        </w:rPr>
        <w:t>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3BBCBFE5" w14:textId="77777777" w:rsidR="00B33708" w:rsidRPr="00345A1C" w:rsidRDefault="00B33708" w:rsidP="00B33708">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lang w:val="en-US"/>
        </w:rPr>
        <w:drawing>
          <wp:inline distT="0" distB="0" distL="0" distR="0" wp14:anchorId="3779B104" wp14:editId="5288BB33">
            <wp:extent cx="3168000" cy="2664000"/>
            <wp:effectExtent l="0" t="0" r="13970" b="317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345A1C">
        <w:rPr>
          <w:rFonts w:ascii="GHEA Grapalat" w:eastAsia="Calibri" w:hAnsi="GHEA Grapalat" w:cs="Sylfaen"/>
          <w:sz w:val="22"/>
          <w:szCs w:val="22"/>
          <w:lang w:val="en-US"/>
        </w:rPr>
        <w:drawing>
          <wp:inline distT="0" distB="0" distL="0" distR="0" wp14:anchorId="6282632D" wp14:editId="3F239269">
            <wp:extent cx="3168000" cy="2664000"/>
            <wp:effectExtent l="0" t="0" r="13970" b="317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31A95E6" w14:textId="77777777" w:rsidR="00B33708" w:rsidRPr="00BC2C75" w:rsidRDefault="00B33708" w:rsidP="00B33708">
      <w:pPr>
        <w:spacing w:after="120" w:line="276" w:lineRule="auto"/>
        <w:jc w:val="both"/>
        <w:rPr>
          <w:rFonts w:ascii="GHEA Grapalat" w:eastAsia="Calibri" w:hAnsi="GHEA Grapalat" w:cs="Sylfaen"/>
          <w:i/>
          <w:sz w:val="16"/>
          <w:szCs w:val="16"/>
        </w:rPr>
      </w:pPr>
      <w:r w:rsidRPr="00BC2C75">
        <w:rPr>
          <w:rFonts w:ascii="GHEA Grapalat" w:hAnsi="GHEA Grapalat"/>
          <w:i/>
          <w:sz w:val="16"/>
          <w:szCs w:val="16"/>
        </w:rPr>
        <w:t>Աղբյուրը՝ ՀՀ ՖՆ</w:t>
      </w:r>
      <w:r>
        <w:rPr>
          <w:rFonts w:ascii="GHEA Grapalat" w:hAnsi="GHEA Grapalat"/>
          <w:i/>
          <w:sz w:val="16"/>
          <w:szCs w:val="16"/>
        </w:rPr>
        <w:t>:</w:t>
      </w:r>
    </w:p>
    <w:p w14:paraId="3DF56D00" w14:textId="77777777" w:rsidR="00B33708" w:rsidRPr="008471A1" w:rsidRDefault="00B33708" w:rsidP="00B33708">
      <w:pPr>
        <w:spacing w:line="276" w:lineRule="auto"/>
        <w:ind w:firstLine="567"/>
        <w:jc w:val="both"/>
        <w:rPr>
          <w:rFonts w:ascii="GHEA Grapalat" w:eastAsia="Calibri" w:hAnsi="GHEA Grapalat" w:cs="Sylfaen"/>
          <w:sz w:val="22"/>
          <w:szCs w:val="22"/>
        </w:rPr>
      </w:pPr>
    </w:p>
    <w:p w14:paraId="0B6367AE" w14:textId="4A1CF6B7" w:rsidR="00B33708" w:rsidRPr="00D70CAF" w:rsidRDefault="00B33708" w:rsidP="00B33708">
      <w:pPr>
        <w:spacing w:line="276" w:lineRule="auto"/>
        <w:ind w:firstLine="567"/>
        <w:jc w:val="both"/>
        <w:rPr>
          <w:rFonts w:ascii="GHEA Grapalat" w:eastAsia="Calibri" w:hAnsi="GHEA Grapalat" w:cs="Sylfaen"/>
          <w:sz w:val="22"/>
          <w:szCs w:val="22"/>
        </w:rPr>
      </w:pPr>
      <w:r w:rsidRPr="00732600">
        <w:rPr>
          <w:rFonts w:ascii="GHEA Grapalat" w:eastAsia="Calibri" w:hAnsi="GHEA Grapalat" w:cs="Sylfaen"/>
          <w:b/>
          <w:i/>
          <w:sz w:val="22"/>
          <w:szCs w:val="22"/>
        </w:rPr>
        <w:t>ՀՀ եվրապարտատոմսերի երկրորդային շուկա:</w:t>
      </w:r>
      <w:r w:rsidRPr="00732600">
        <w:rPr>
          <w:rFonts w:ascii="GHEA Grapalat" w:eastAsia="Calibri" w:hAnsi="GHEA Grapalat" w:cs="Sylfaen"/>
          <w:sz w:val="22"/>
          <w:szCs w:val="22"/>
        </w:rPr>
        <w:t xml:space="preserve"> ՀՀ եվր</w:t>
      </w:r>
      <w:r w:rsidR="00FC04BD" w:rsidRPr="00B06C86">
        <w:rPr>
          <w:rFonts w:ascii="GHEA Grapalat" w:eastAsia="Calibri" w:hAnsi="GHEA Grapalat" w:cs="Sylfaen"/>
          <w:sz w:val="22"/>
          <w:szCs w:val="22"/>
        </w:rPr>
        <w:t>ա</w:t>
      </w:r>
      <w:r w:rsidRPr="00732600">
        <w:rPr>
          <w:rFonts w:ascii="GHEA Grapalat" w:eastAsia="Calibri" w:hAnsi="GHEA Grapalat" w:cs="Sylfaen"/>
          <w:sz w:val="22"/>
          <w:szCs w:val="22"/>
        </w:rPr>
        <w:t>պարտատոմսերի երկրորդային շուկայում եկամտաբերությունները 2025թ</w:t>
      </w:r>
      <w:r w:rsidR="00732600">
        <w:rPr>
          <w:rFonts w:ascii="GHEA Grapalat" w:eastAsia="Calibri" w:hAnsi="GHEA Grapalat" w:cs="Sylfaen"/>
          <w:sz w:val="22"/>
          <w:szCs w:val="22"/>
        </w:rPr>
        <w:t>.</w:t>
      </w:r>
      <w:r w:rsidRPr="00732600">
        <w:rPr>
          <w:rFonts w:ascii="GHEA Grapalat" w:eastAsia="Calibri" w:hAnsi="GHEA Grapalat" w:cs="Sylfaen"/>
          <w:sz w:val="22"/>
          <w:szCs w:val="22"/>
        </w:rPr>
        <w:t xml:space="preserve"> նախորդ տարվա համեմատ նվազել են՝ պայմանավորված երկրի ռիսկի հավելավճարի ավելի ցածր մակարդակով։ </w:t>
      </w:r>
      <w:r>
        <w:rPr>
          <w:rFonts w:ascii="GHEA Grapalat" w:eastAsia="Calibri" w:hAnsi="GHEA Grapalat" w:cs="Sylfaen"/>
          <w:sz w:val="22"/>
          <w:szCs w:val="22"/>
        </w:rPr>
        <w:t xml:space="preserve">2019թ. 4.2% եկամտաբերությամբ </w:t>
      </w:r>
      <w:r>
        <w:rPr>
          <w:rFonts w:ascii="GHEA Grapalat" w:eastAsia="Calibri" w:hAnsi="GHEA Grapalat" w:cs="Sylfaen"/>
          <w:sz w:val="22"/>
          <w:szCs w:val="22"/>
        </w:rPr>
        <w:lastRenderedPageBreak/>
        <w:t>թողարկված պարտատոմսերի եկամտաբերությունը 2025թ. միջինում կազմել է 6.4%` 2024թ. գրանցված 6.9%-ի դիմաց, իսկ 2021թ. փետրվարին 3.9% եկամտաբերությամբ թողարկված պարտատոմսերի եկամտաբերությունը միջինում կազմել է 6.4%` նախորդ տարվա</w:t>
      </w:r>
      <w:r w:rsidR="00FC04BD">
        <w:rPr>
          <w:rFonts w:ascii="GHEA Grapalat" w:eastAsia="Calibri" w:hAnsi="GHEA Grapalat" w:cs="Sylfaen"/>
          <w:sz w:val="22"/>
          <w:szCs w:val="22"/>
        </w:rPr>
        <w:t xml:space="preserve"> 7</w:t>
      </w:r>
      <w:r>
        <w:rPr>
          <w:rFonts w:ascii="GHEA Grapalat" w:eastAsia="Calibri" w:hAnsi="GHEA Grapalat" w:cs="Sylfaen"/>
          <w:sz w:val="22"/>
          <w:szCs w:val="22"/>
        </w:rPr>
        <w:t>%-ի համեմատությամբ։ 2025թ. մարտի 5-ին միջազգային կապիտալի շուկայում տեղաբաշխված արտարժութային պարտատոմսերի եկամտաբերությունը կազմել է 6.8</w:t>
      </w:r>
      <w:r w:rsidR="00FC04BD" w:rsidRPr="00B06C86">
        <w:rPr>
          <w:rFonts w:ascii="GHEA Grapalat" w:eastAsia="Calibri" w:hAnsi="GHEA Grapalat" w:cs="Sylfaen"/>
          <w:sz w:val="22"/>
          <w:szCs w:val="22"/>
        </w:rPr>
        <w:t>%</w:t>
      </w:r>
      <w:r w:rsidRPr="00D70CAF">
        <w:rPr>
          <w:rFonts w:ascii="GHEA Grapalat" w:eastAsia="Calibri" w:hAnsi="GHEA Grapalat" w:cs="Sylfaen"/>
          <w:sz w:val="22"/>
          <w:szCs w:val="22"/>
        </w:rPr>
        <w:t>։</w:t>
      </w:r>
    </w:p>
    <w:p w14:paraId="7F8D270B" w14:textId="066FBCB3" w:rsidR="00B33708" w:rsidRPr="00D70CAF" w:rsidRDefault="00B33708" w:rsidP="00B33708">
      <w:pPr>
        <w:spacing w:line="276" w:lineRule="auto"/>
        <w:ind w:firstLine="567"/>
        <w:jc w:val="both"/>
        <w:rPr>
          <w:rFonts w:ascii="GHEA Grapalat" w:eastAsia="Calibri" w:hAnsi="GHEA Grapalat" w:cs="Sylfaen"/>
          <w:sz w:val="22"/>
          <w:szCs w:val="22"/>
        </w:rPr>
      </w:pPr>
      <w:r w:rsidRPr="00F07E59">
        <w:rPr>
          <w:rFonts w:ascii="GHEA Grapalat" w:eastAsia="Calibri" w:hAnsi="GHEA Grapalat" w:cs="Sylfaen"/>
          <w:sz w:val="22"/>
          <w:szCs w:val="22"/>
        </w:rPr>
        <w:t>Պետք է նշել, որ 2025թ. տոկոսադրույքները զարգացած երկրներում պահպանվել են բարձր մակարդակում. դրամավարկային քաղաքականության</w:t>
      </w:r>
      <w:r w:rsidRPr="0095006A">
        <w:rPr>
          <w:rFonts w:ascii="GHEA Grapalat" w:eastAsia="Calibri" w:hAnsi="GHEA Grapalat" w:cs="Sylfaen"/>
          <w:sz w:val="22"/>
          <w:szCs w:val="22"/>
        </w:rPr>
        <w:t xml:space="preserve"> </w:t>
      </w:r>
      <w:r>
        <w:rPr>
          <w:rFonts w:ascii="GHEA Grapalat" w:eastAsia="Calibri" w:hAnsi="GHEA Grapalat" w:cs="Sylfaen"/>
          <w:sz w:val="22"/>
          <w:szCs w:val="22"/>
        </w:rPr>
        <w:t>պայմանները շարունակում են խիստ լինել</w:t>
      </w:r>
      <w:r w:rsidRPr="00F07E59">
        <w:rPr>
          <w:rFonts w:ascii="GHEA Grapalat" w:eastAsia="Calibri" w:hAnsi="GHEA Grapalat" w:cs="Sylfaen"/>
          <w:sz w:val="22"/>
          <w:szCs w:val="22"/>
        </w:rPr>
        <w:t xml:space="preserve">: </w:t>
      </w:r>
      <w:r>
        <w:rPr>
          <w:rFonts w:ascii="GHEA Grapalat" w:eastAsia="Calibri" w:hAnsi="GHEA Grapalat" w:cs="Sylfaen"/>
          <w:sz w:val="22"/>
          <w:szCs w:val="22"/>
        </w:rPr>
        <w:t>Այսպես, ԱՄՆ 10 տարի ժամկետայնությամբ պետական պարտատոմսերի եկամտաբերությունը 2025թ</w:t>
      </w:r>
      <w:r>
        <w:rPr>
          <w:rFonts w:ascii="Cambria Math" w:eastAsia="Calibri" w:hAnsi="Cambria Math" w:cs="Sylfaen"/>
          <w:sz w:val="22"/>
          <w:szCs w:val="22"/>
        </w:rPr>
        <w:t>․</w:t>
      </w:r>
      <w:r>
        <w:rPr>
          <w:rFonts w:ascii="GHEA Grapalat" w:eastAsia="Calibri" w:hAnsi="GHEA Grapalat" w:cs="Sylfaen"/>
          <w:sz w:val="22"/>
          <w:szCs w:val="22"/>
        </w:rPr>
        <w:t xml:space="preserve"> միջինում կազմել է 4.3%` 2024թ</w:t>
      </w:r>
      <w:r>
        <w:rPr>
          <w:rFonts w:ascii="Cambria Math" w:eastAsia="Calibri" w:hAnsi="Cambria Math" w:cs="Cambria Math"/>
          <w:sz w:val="22"/>
          <w:szCs w:val="22"/>
        </w:rPr>
        <w:t>․</w:t>
      </w:r>
      <w:r>
        <w:rPr>
          <w:rFonts w:ascii="GHEA Grapalat" w:eastAsia="Calibri" w:hAnsi="GHEA Grapalat" w:cs="Sylfaen"/>
          <w:sz w:val="22"/>
          <w:szCs w:val="22"/>
        </w:rPr>
        <w:t xml:space="preserve"> 4.2%-ի համեմատությամբ` </w:t>
      </w:r>
      <w:r w:rsidRPr="00D348E5">
        <w:rPr>
          <w:rFonts w:ascii="GHEA Grapalat" w:eastAsia="Calibri" w:hAnsi="GHEA Grapalat" w:cs="Sylfaen"/>
          <w:sz w:val="22"/>
          <w:szCs w:val="22"/>
        </w:rPr>
        <w:t>թեպետ</w:t>
      </w:r>
      <w:r w:rsidRPr="000B1EAA">
        <w:rPr>
          <w:rFonts w:ascii="GHEA Grapalat" w:eastAsia="Calibri" w:hAnsi="GHEA Grapalat" w:cs="Sylfaen"/>
          <w:sz w:val="22"/>
          <w:szCs w:val="22"/>
        </w:rPr>
        <w:t xml:space="preserve"> </w:t>
      </w:r>
      <w:r w:rsidRPr="00C52A81">
        <w:rPr>
          <w:rFonts w:ascii="GHEA Grapalat" w:eastAsia="Calibri" w:hAnsi="GHEA Grapalat" w:cs="Sylfaen"/>
          <w:sz w:val="22"/>
          <w:szCs w:val="22"/>
        </w:rPr>
        <w:t>քաղաքականության տոկոսադրույքը նվազել է շուրջ</w:t>
      </w:r>
      <w:r w:rsidRPr="0095006A">
        <w:rPr>
          <w:rFonts w:ascii="GHEA Grapalat" w:eastAsia="Calibri" w:hAnsi="GHEA Grapalat" w:cs="Sylfaen"/>
          <w:sz w:val="22"/>
          <w:szCs w:val="22"/>
        </w:rPr>
        <w:t xml:space="preserve"> 0.7</w:t>
      </w:r>
      <w:r w:rsidRPr="00D348E5">
        <w:rPr>
          <w:rFonts w:ascii="GHEA Grapalat" w:eastAsia="Calibri" w:hAnsi="GHEA Grapalat" w:cs="Sylfaen"/>
          <w:sz w:val="22"/>
          <w:szCs w:val="22"/>
        </w:rPr>
        <w:t xml:space="preserve"> տոկոսային</w:t>
      </w:r>
      <w:r w:rsidRPr="000B1EAA">
        <w:rPr>
          <w:rFonts w:ascii="GHEA Grapalat" w:eastAsia="Calibri" w:hAnsi="GHEA Grapalat" w:cs="Sylfaen"/>
          <w:sz w:val="22"/>
          <w:szCs w:val="22"/>
        </w:rPr>
        <w:t xml:space="preserve"> </w:t>
      </w:r>
      <w:r w:rsidRPr="00C52A81">
        <w:rPr>
          <w:rFonts w:ascii="GHEA Grapalat" w:eastAsia="Calibri" w:hAnsi="GHEA Grapalat" w:cs="Sylfaen"/>
          <w:sz w:val="22"/>
          <w:szCs w:val="22"/>
        </w:rPr>
        <w:t>կետով։</w:t>
      </w:r>
      <w:r>
        <w:rPr>
          <w:rFonts w:ascii="GHEA Grapalat" w:eastAsia="Calibri" w:hAnsi="GHEA Grapalat" w:cs="Sylfaen"/>
          <w:sz w:val="22"/>
          <w:szCs w:val="22"/>
        </w:rPr>
        <w:t xml:space="preserve"> Չնայած դրան, զարգացող երկրների ռիսկի հավելավճարները ավելի ցածր մակարդակում են եղել 2024թ</w:t>
      </w:r>
      <w:r>
        <w:rPr>
          <w:rFonts w:ascii="Cambria Math" w:eastAsia="Calibri" w:hAnsi="Cambria Math" w:cs="Cambria Math"/>
          <w:sz w:val="22"/>
          <w:szCs w:val="22"/>
        </w:rPr>
        <w:t>․</w:t>
      </w:r>
      <w:r>
        <w:rPr>
          <w:rFonts w:ascii="GHEA Grapalat" w:eastAsia="Calibri" w:hAnsi="GHEA Grapalat" w:cs="Sylfaen"/>
          <w:sz w:val="22"/>
          <w:szCs w:val="22"/>
        </w:rPr>
        <w:t xml:space="preserve"> համեմատ (չնայած որոշակի տատանողականությանը և ապրիլին դրսևորված կտրուկ աճին), ինչը պայմանավորված է ինչպես զարգացած երկրներում տոկոսադրույքի հետագա նվազման սպասումներով, այնպես էլ առանձին զարգացող երկրներում դրական տնտեսական հեռանկարներով</w:t>
      </w:r>
      <w:r w:rsidRPr="00D70CAF">
        <w:rPr>
          <w:rFonts w:ascii="GHEA Grapalat" w:eastAsia="Calibri" w:hAnsi="GHEA Grapalat" w:cs="Sylfaen"/>
          <w:sz w:val="22"/>
          <w:szCs w:val="22"/>
        </w:rPr>
        <w:t>։</w:t>
      </w:r>
    </w:p>
    <w:p w14:paraId="651FD0F9" w14:textId="77777777" w:rsidR="00B33708" w:rsidRPr="005F461F" w:rsidRDefault="00B33708" w:rsidP="00B33708">
      <w:pPr>
        <w:spacing w:line="276" w:lineRule="auto"/>
        <w:ind w:firstLine="567"/>
        <w:jc w:val="both"/>
        <w:rPr>
          <w:rFonts w:ascii="GHEA Grapalat" w:eastAsia="Calibri" w:hAnsi="GHEA Grapalat" w:cs="Sylfaen"/>
          <w:sz w:val="22"/>
          <w:szCs w:val="22"/>
        </w:rPr>
      </w:pPr>
    </w:p>
    <w:p w14:paraId="10A0C397" w14:textId="77777777" w:rsidR="00B33708" w:rsidRPr="00E0512F" w:rsidRDefault="00B33708" w:rsidP="00B33708">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E0512F">
        <w:rPr>
          <w:rFonts w:ascii="GHEA Grapalat" w:eastAsia="GHEA Grapalat" w:hAnsi="GHEA Grapalat" w:cs="GHEA Grapalat"/>
          <w:b/>
          <w:sz w:val="18"/>
          <w:szCs w:val="18"/>
        </w:rPr>
        <w:t>Գծապատկեր 3</w:t>
      </w:r>
      <w:r>
        <w:rPr>
          <w:rFonts w:ascii="GHEA Grapalat" w:eastAsia="GHEA Grapalat" w:hAnsi="GHEA Grapalat" w:cs="GHEA Grapalat"/>
          <w:b/>
          <w:sz w:val="18"/>
          <w:szCs w:val="18"/>
        </w:rPr>
        <w:t>3</w:t>
      </w:r>
      <w:r w:rsidRPr="00E0512F">
        <w:rPr>
          <w:rFonts w:ascii="GHEA Grapalat" w:eastAsia="GHEA Grapalat" w:hAnsi="GHEA Grapalat" w:cs="GHEA Grapalat"/>
          <w:b/>
          <w:sz w:val="18"/>
          <w:szCs w:val="18"/>
        </w:rPr>
        <w:t>. ՀՀ եվրոբոնդերի եկամտաբերությունները և ռիսկի հավելավճարը</w:t>
      </w:r>
      <w:r>
        <w:rPr>
          <w:rFonts w:ascii="GHEA Grapalat" w:eastAsia="GHEA Grapalat" w:hAnsi="GHEA Grapalat" w:cs="GHEA Grapalat"/>
          <w:b/>
          <w:sz w:val="18"/>
          <w:szCs w:val="18"/>
        </w:rPr>
        <w:t xml:space="preserve"> 2021-2025</w:t>
      </w:r>
      <w:r w:rsidRPr="00E0512F">
        <w:rPr>
          <w:rFonts w:ascii="GHEA Grapalat" w:eastAsia="GHEA Grapalat" w:hAnsi="GHEA Grapalat" w:cs="GHEA Grapalat"/>
          <w:b/>
          <w:sz w:val="18"/>
          <w:szCs w:val="18"/>
        </w:rPr>
        <w:t>թթ</w:t>
      </w:r>
      <w:r w:rsidRPr="00E0512F">
        <w:rPr>
          <w:rFonts w:ascii="Cambria Math" w:eastAsia="GHEA Grapalat" w:hAnsi="Cambria Math" w:cs="Cambria Math"/>
          <w:b/>
          <w:sz w:val="18"/>
          <w:szCs w:val="18"/>
        </w:rPr>
        <w:t>․</w:t>
      </w:r>
      <w:r w:rsidRPr="00E0512F">
        <w:rPr>
          <w:rFonts w:ascii="GHEA Grapalat" w:eastAsia="GHEA Grapalat" w:hAnsi="GHEA Grapalat" w:cs="GHEA Grapalat"/>
          <w:b/>
          <w:sz w:val="18"/>
          <w:szCs w:val="18"/>
        </w:rPr>
        <w:t xml:space="preserve"> </w:t>
      </w:r>
    </w:p>
    <w:p w14:paraId="027C3740" w14:textId="77777777" w:rsidR="00B33708" w:rsidRPr="00345A1C" w:rsidRDefault="00B33708" w:rsidP="00B33708">
      <w:pPr>
        <w:spacing w:line="276" w:lineRule="auto"/>
        <w:jc w:val="both"/>
        <w:rPr>
          <w:rFonts w:ascii="GHEA Grapalat" w:hAnsi="GHEA Grapalat" w:cs="GHEA Grapalat"/>
          <w:sz w:val="22"/>
          <w:szCs w:val="22"/>
        </w:rPr>
      </w:pPr>
      <w:r w:rsidRPr="00BC2C75">
        <w:rPr>
          <w:rFonts w:ascii="GHEA Grapalat" w:hAnsi="GHEA Grapalat"/>
          <w:lang w:val="en-US"/>
        </w:rPr>
        <w:drawing>
          <wp:inline distT="0" distB="0" distL="0" distR="0" wp14:anchorId="52B4908C" wp14:editId="741A32DB">
            <wp:extent cx="3168000" cy="2664000"/>
            <wp:effectExtent l="0" t="0" r="13970" b="317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345A1C">
        <w:rPr>
          <w:rFonts w:ascii="GHEA Grapalat" w:hAnsi="GHEA Grapalat" w:cs="GHEA Grapalat"/>
          <w:sz w:val="22"/>
          <w:szCs w:val="22"/>
          <w:lang w:val="en-US"/>
        </w:rPr>
        <w:drawing>
          <wp:inline distT="0" distB="0" distL="0" distR="0" wp14:anchorId="2C1E0042" wp14:editId="15FCB1D4">
            <wp:extent cx="3168000" cy="2664000"/>
            <wp:effectExtent l="0" t="0" r="13970" b="31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26038FC" w14:textId="77777777" w:rsidR="00B33708" w:rsidRPr="00BC2C75" w:rsidRDefault="00B33708" w:rsidP="00B33708">
      <w:pPr>
        <w:spacing w:line="276" w:lineRule="auto"/>
        <w:jc w:val="both"/>
        <w:rPr>
          <w:rFonts w:ascii="GHEA Grapalat" w:hAnsi="GHEA Grapalat" w:cs="GHEA Grapalat"/>
          <w:i/>
          <w:iCs/>
          <w:sz w:val="16"/>
          <w:szCs w:val="16"/>
        </w:rPr>
      </w:pPr>
      <w:r w:rsidRPr="00BC2C75">
        <w:rPr>
          <w:rFonts w:ascii="GHEA Grapalat" w:hAnsi="GHEA Grapalat"/>
          <w:i/>
          <w:iCs/>
          <w:sz w:val="16"/>
          <w:szCs w:val="16"/>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14:paraId="7077183A" w14:textId="77777777" w:rsidR="00B33708" w:rsidRDefault="00B33708" w:rsidP="00B33708">
      <w:pPr>
        <w:spacing w:line="276" w:lineRule="auto"/>
        <w:ind w:firstLine="567"/>
        <w:jc w:val="both"/>
        <w:rPr>
          <w:rFonts w:ascii="GHEA Grapalat" w:eastAsia="Calibri" w:hAnsi="GHEA Grapalat" w:cs="Sylfaen"/>
          <w:sz w:val="22"/>
          <w:szCs w:val="22"/>
        </w:rPr>
      </w:pPr>
    </w:p>
    <w:p w14:paraId="23E96395" w14:textId="0C351B0C" w:rsidR="00B33708" w:rsidRPr="00345A1C" w:rsidRDefault="00B33708" w:rsidP="00B33708">
      <w:pPr>
        <w:spacing w:line="276" w:lineRule="auto"/>
        <w:ind w:firstLine="567"/>
        <w:jc w:val="both"/>
        <w:rPr>
          <w:rFonts w:ascii="GHEA Grapalat" w:eastAsia="Calibri" w:hAnsi="GHEA Grapalat" w:cs="Sylfaen"/>
          <w:sz w:val="22"/>
          <w:szCs w:val="22"/>
        </w:rPr>
      </w:pPr>
      <w:r w:rsidRPr="001D6EEF">
        <w:rPr>
          <w:rFonts w:ascii="GHEA Grapalat" w:eastAsia="Calibri" w:hAnsi="GHEA Grapalat" w:cs="Sylfaen"/>
          <w:sz w:val="22"/>
          <w:szCs w:val="22"/>
        </w:rPr>
        <w:t xml:space="preserve">ՀՀ երկրի ռիսկի հավելավճարը </w:t>
      </w:r>
      <w:r>
        <w:rPr>
          <w:rFonts w:ascii="GHEA Grapalat" w:eastAsia="Calibri" w:hAnsi="GHEA Grapalat" w:cs="Sylfaen"/>
          <w:sz w:val="22"/>
          <w:szCs w:val="22"/>
        </w:rPr>
        <w:t>նվազել է նախորդ տարվա համեմատությամբ</w:t>
      </w:r>
      <w:r w:rsidRPr="001D6EEF">
        <w:rPr>
          <w:rFonts w:ascii="GHEA Grapalat" w:eastAsia="Calibri" w:hAnsi="GHEA Grapalat" w:cs="Sylfaen"/>
          <w:sz w:val="22"/>
          <w:szCs w:val="22"/>
        </w:rPr>
        <w:t>, ինչը պայմանավորված է Հայաստանի</w:t>
      </w:r>
      <w:r>
        <w:rPr>
          <w:rFonts w:ascii="GHEA Grapalat" w:eastAsia="Calibri" w:hAnsi="GHEA Grapalat" w:cs="Sylfaen"/>
          <w:sz w:val="22"/>
          <w:szCs w:val="22"/>
        </w:rPr>
        <w:t xml:space="preserve"> շուրջ անվտանգային միջավայրի բարելավմամբ,</w:t>
      </w:r>
      <w:r w:rsidRPr="001D6EEF">
        <w:rPr>
          <w:rFonts w:ascii="GHEA Grapalat" w:eastAsia="Calibri" w:hAnsi="GHEA Grapalat" w:cs="Sylfaen"/>
          <w:sz w:val="22"/>
          <w:szCs w:val="22"/>
        </w:rPr>
        <w:t xml:space="preserve"> տնտեսական կայուն միջավայրով և իրականացվող խելամիտ մակրոտնտեսական քաղաքականություններով</w:t>
      </w:r>
      <w:r w:rsidRPr="000D162B">
        <w:rPr>
          <w:rFonts w:ascii="GHEA Grapalat" w:eastAsia="Calibri" w:hAnsi="GHEA Grapalat" w:cs="Sylfaen"/>
          <w:sz w:val="22"/>
          <w:szCs w:val="22"/>
        </w:rPr>
        <w:t xml:space="preserve">, </w:t>
      </w:r>
      <w:r w:rsidRPr="001D6EEF">
        <w:rPr>
          <w:rFonts w:ascii="GHEA Grapalat" w:eastAsia="Calibri" w:hAnsi="GHEA Grapalat" w:cs="Sylfaen"/>
          <w:sz w:val="22"/>
          <w:szCs w:val="22"/>
        </w:rPr>
        <w:t>սուվերեն վարկանիշ</w:t>
      </w:r>
      <w:r>
        <w:rPr>
          <w:rFonts w:ascii="GHEA Grapalat" w:eastAsia="Calibri" w:hAnsi="GHEA Grapalat" w:cs="Sylfaen"/>
          <w:sz w:val="22"/>
          <w:szCs w:val="22"/>
        </w:rPr>
        <w:t>ի բարելավման հնարավորություններով</w:t>
      </w:r>
      <w:r w:rsidRPr="001D6EEF">
        <w:rPr>
          <w:rFonts w:ascii="GHEA Grapalat" w:eastAsia="Calibri" w:hAnsi="GHEA Grapalat" w:cs="Sylfaen"/>
          <w:sz w:val="22"/>
          <w:szCs w:val="22"/>
        </w:rPr>
        <w:t>, ինչպես նաև ընդհանուր առմամբ զարգացող երկրների ռիսկի հավելավճարի շարունակվող նվազմամբ։</w:t>
      </w:r>
      <w:r>
        <w:rPr>
          <w:rFonts w:ascii="GHEA Grapalat" w:eastAsia="Calibri" w:hAnsi="GHEA Grapalat" w:cs="Sylfaen"/>
          <w:sz w:val="22"/>
          <w:szCs w:val="22"/>
        </w:rPr>
        <w:t xml:space="preserve"> 2029</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w:t>
      </w:r>
      <w:r w:rsidR="00844C71">
        <w:rPr>
          <w:rFonts w:ascii="GHEA Grapalat" w:eastAsia="Calibri" w:hAnsi="GHEA Grapalat" w:cs="Sylfaen"/>
          <w:sz w:val="22"/>
          <w:szCs w:val="22"/>
        </w:rPr>
        <w:t>եվրա</w:t>
      </w:r>
      <w:r>
        <w:rPr>
          <w:rFonts w:ascii="GHEA Grapalat" w:eastAsia="Calibri" w:hAnsi="GHEA Grapalat" w:cs="Sylfaen"/>
          <w:sz w:val="22"/>
          <w:szCs w:val="22"/>
        </w:rPr>
        <w:t>պարտատոմսերի ռիսկի հավելավճարը 2025թ. կազմել է</w:t>
      </w:r>
      <w:r w:rsidRPr="00345A1C">
        <w:rPr>
          <w:rFonts w:ascii="GHEA Grapalat" w:eastAsia="Calibri" w:hAnsi="GHEA Grapalat" w:cs="Sylfaen"/>
          <w:sz w:val="22"/>
          <w:szCs w:val="22"/>
        </w:rPr>
        <w:t xml:space="preserve"> 2</w:t>
      </w:r>
      <w:r w:rsidRPr="0095006A">
        <w:rPr>
          <w:rFonts w:ascii="GHEA Grapalat" w:eastAsia="Calibri" w:hAnsi="GHEA Grapalat" w:cs="Sylfaen"/>
          <w:sz w:val="22"/>
          <w:szCs w:val="22"/>
        </w:rPr>
        <w:t>22.8</w:t>
      </w:r>
      <w:r w:rsidRPr="00345A1C">
        <w:rPr>
          <w:rFonts w:ascii="GHEA Grapalat" w:eastAsia="Calibri" w:hAnsi="GHEA Grapalat" w:cs="Sylfaen"/>
          <w:sz w:val="22"/>
          <w:szCs w:val="22"/>
        </w:rPr>
        <w:t xml:space="preserve"> բազիսային կետ՝ նախորդ տարվա </w:t>
      </w:r>
      <w:r>
        <w:rPr>
          <w:rFonts w:ascii="GHEA Grapalat" w:eastAsia="Calibri" w:hAnsi="GHEA Grapalat" w:cs="Sylfaen"/>
          <w:sz w:val="22"/>
          <w:szCs w:val="22"/>
        </w:rPr>
        <w:t>27</w:t>
      </w:r>
      <w:r w:rsidRPr="0095006A">
        <w:rPr>
          <w:rFonts w:ascii="GHEA Grapalat" w:eastAsia="Calibri" w:hAnsi="GHEA Grapalat" w:cs="Sylfaen"/>
          <w:sz w:val="22"/>
          <w:szCs w:val="22"/>
        </w:rPr>
        <w:t>4.4</w:t>
      </w:r>
      <w:r w:rsidRPr="00345A1C">
        <w:rPr>
          <w:rFonts w:ascii="GHEA Grapalat" w:eastAsia="Calibri" w:hAnsi="GHEA Grapalat" w:cs="Sylfaen"/>
          <w:sz w:val="22"/>
          <w:szCs w:val="22"/>
        </w:rPr>
        <w:t xml:space="preserve"> բազիսային կետ ցուցանիշի դիմաց, </w:t>
      </w:r>
      <w:r>
        <w:rPr>
          <w:rFonts w:ascii="GHEA Grapalat" w:eastAsia="Calibri" w:hAnsi="GHEA Grapalat" w:cs="Sylfaen"/>
          <w:sz w:val="22"/>
          <w:szCs w:val="22"/>
        </w:rPr>
        <w:t>2031</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պարտատոմսերինը՝ </w:t>
      </w:r>
      <w:r>
        <w:rPr>
          <w:rFonts w:ascii="GHEA Grapalat" w:eastAsia="Calibri" w:hAnsi="GHEA Grapalat" w:cs="Sylfaen"/>
          <w:sz w:val="22"/>
          <w:szCs w:val="22"/>
        </w:rPr>
        <w:t>2</w:t>
      </w:r>
      <w:r w:rsidRPr="0095006A">
        <w:rPr>
          <w:rFonts w:ascii="GHEA Grapalat" w:eastAsia="Calibri" w:hAnsi="GHEA Grapalat" w:cs="Sylfaen"/>
          <w:sz w:val="22"/>
          <w:szCs w:val="22"/>
        </w:rPr>
        <w:t>45.5</w:t>
      </w:r>
      <w:r w:rsidRPr="00345A1C">
        <w:rPr>
          <w:rFonts w:ascii="GHEA Grapalat" w:eastAsia="Calibri" w:hAnsi="GHEA Grapalat" w:cs="Sylfaen"/>
          <w:sz w:val="22"/>
          <w:szCs w:val="22"/>
        </w:rPr>
        <w:t xml:space="preserve"> բազիսային կետ՝ նախորդ տարվա </w:t>
      </w:r>
      <w:r w:rsidRPr="0095006A">
        <w:rPr>
          <w:rFonts w:ascii="GHEA Grapalat" w:eastAsia="Calibri" w:hAnsi="GHEA Grapalat" w:cs="Sylfaen"/>
          <w:sz w:val="22"/>
          <w:szCs w:val="22"/>
        </w:rPr>
        <w:t>315</w:t>
      </w:r>
      <w:r>
        <w:rPr>
          <w:rFonts w:ascii="GHEA Grapalat" w:eastAsia="Calibri" w:hAnsi="GHEA Grapalat" w:cs="Sylfaen"/>
          <w:sz w:val="22"/>
          <w:szCs w:val="22"/>
        </w:rPr>
        <w:t>.</w:t>
      </w:r>
      <w:r w:rsidRPr="0095006A">
        <w:rPr>
          <w:rFonts w:ascii="GHEA Grapalat" w:eastAsia="Calibri" w:hAnsi="GHEA Grapalat" w:cs="Sylfaen"/>
          <w:sz w:val="22"/>
          <w:szCs w:val="22"/>
        </w:rPr>
        <w:t>1</w:t>
      </w:r>
      <w:r w:rsidRPr="00345A1C">
        <w:rPr>
          <w:rFonts w:ascii="GHEA Grapalat" w:eastAsia="Calibri" w:hAnsi="GHEA Grapalat" w:cs="Sylfaen"/>
          <w:sz w:val="22"/>
          <w:szCs w:val="22"/>
        </w:rPr>
        <w:t xml:space="preserve"> բազիսային կետ ցուցանիշի դիմաց</w:t>
      </w:r>
      <w:r>
        <w:rPr>
          <w:rFonts w:ascii="GHEA Grapalat" w:eastAsia="Calibri" w:hAnsi="GHEA Grapalat" w:cs="Sylfaen"/>
          <w:sz w:val="22"/>
          <w:szCs w:val="22"/>
        </w:rPr>
        <w:t>, իսկ 2035թ. մարվող պարտատոմսերի ռիսկի հավելավճարը՝ 2</w:t>
      </w:r>
      <w:r w:rsidRPr="0095006A">
        <w:rPr>
          <w:rFonts w:ascii="GHEA Grapalat" w:eastAsia="Calibri" w:hAnsi="GHEA Grapalat" w:cs="Sylfaen"/>
          <w:sz w:val="22"/>
          <w:szCs w:val="22"/>
        </w:rPr>
        <w:t>59.3</w:t>
      </w:r>
      <w:r>
        <w:rPr>
          <w:rFonts w:ascii="GHEA Grapalat" w:eastAsia="Calibri" w:hAnsi="GHEA Grapalat" w:cs="Sylfaen"/>
          <w:sz w:val="22"/>
          <w:szCs w:val="22"/>
        </w:rPr>
        <w:t xml:space="preserve"> բազիսային կետ</w:t>
      </w:r>
      <w:r w:rsidRPr="00345A1C">
        <w:rPr>
          <w:rFonts w:ascii="GHEA Grapalat" w:eastAsia="Calibri" w:hAnsi="GHEA Grapalat" w:cs="Sylfaen"/>
          <w:sz w:val="22"/>
          <w:szCs w:val="22"/>
        </w:rPr>
        <w:t>։</w:t>
      </w:r>
    </w:p>
    <w:sectPr w:rsidR="00B33708" w:rsidRPr="00345A1C" w:rsidSect="00B06C86">
      <w:headerReference w:type="default" r:id="rId52"/>
      <w:footerReference w:type="default" r:id="rId53"/>
      <w:pgSz w:w="11909" w:h="16834" w:code="9"/>
      <w:pgMar w:top="1134" w:right="567" w:bottom="567" w:left="1134" w:header="720" w:footer="720" w:gutter="0"/>
      <w:pgNumType w:start="13"/>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DEA431" w14:textId="77777777" w:rsidR="00A47D95" w:rsidRDefault="00A47D95">
      <w:r>
        <w:separator/>
      </w:r>
    </w:p>
  </w:endnote>
  <w:endnote w:type="continuationSeparator" w:id="0">
    <w:p w14:paraId="3F63354E" w14:textId="77777777" w:rsidR="00A47D95" w:rsidRDefault="00A47D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Calibri"/>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Liberation Sans">
    <w:altName w:val="Arial"/>
    <w:charset w:val="00"/>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auto"/>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Arial"/>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989357687"/>
      <w:docPartObj>
        <w:docPartGallery w:val="Page Numbers (Bottom of Page)"/>
        <w:docPartUnique/>
      </w:docPartObj>
    </w:sdtPr>
    <w:sdtEndPr>
      <w:rPr>
        <w:rFonts w:ascii="GHEA Grapalat" w:hAnsi="GHEA Grapalat"/>
        <w:noProof/>
        <w:sz w:val="22"/>
        <w:szCs w:val="22"/>
      </w:rPr>
    </w:sdtEndPr>
    <w:sdtContent>
      <w:p w14:paraId="18ECF17F" w14:textId="61A63298" w:rsidR="00AA2869" w:rsidRPr="002F7513" w:rsidRDefault="00AA2869" w:rsidP="008A5C89">
        <w:pPr>
          <w:pStyle w:val="Footer"/>
          <w:spacing w:line="276" w:lineRule="auto"/>
          <w:jc w:val="right"/>
          <w:rPr>
            <w:rFonts w:ascii="GHEA Grapalat" w:hAnsi="GHEA Grapalat"/>
            <w:sz w:val="22"/>
            <w:szCs w:val="22"/>
          </w:rPr>
        </w:pPr>
        <w:r w:rsidRPr="002F7513">
          <w:rPr>
            <w:rFonts w:ascii="GHEA Grapalat" w:hAnsi="GHEA Grapalat"/>
            <w:noProof w:val="0"/>
            <w:sz w:val="22"/>
            <w:szCs w:val="22"/>
          </w:rPr>
          <w:fldChar w:fldCharType="begin"/>
        </w:r>
        <w:r w:rsidRPr="002F7513">
          <w:rPr>
            <w:rFonts w:ascii="GHEA Grapalat" w:hAnsi="GHEA Grapalat"/>
            <w:sz w:val="22"/>
            <w:szCs w:val="22"/>
          </w:rPr>
          <w:instrText xml:space="preserve"> PAGE   \* MERGEFORMAT </w:instrText>
        </w:r>
        <w:r w:rsidRPr="002F7513">
          <w:rPr>
            <w:rFonts w:ascii="GHEA Grapalat" w:hAnsi="GHEA Grapalat"/>
            <w:noProof w:val="0"/>
            <w:sz w:val="22"/>
            <w:szCs w:val="22"/>
          </w:rPr>
          <w:fldChar w:fldCharType="separate"/>
        </w:r>
        <w:r w:rsidR="00493584">
          <w:rPr>
            <w:rFonts w:ascii="GHEA Grapalat" w:hAnsi="GHEA Grapalat"/>
            <w:sz w:val="22"/>
            <w:szCs w:val="22"/>
          </w:rPr>
          <w:t>33</w:t>
        </w:r>
        <w:r w:rsidRPr="002F7513">
          <w:rPr>
            <w:rFonts w:ascii="GHEA Grapalat" w:hAnsi="GHEA Grapalat"/>
            <w:sz w:val="22"/>
            <w:szCs w:val="22"/>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FC8A04" w14:textId="77777777" w:rsidR="00A47D95" w:rsidRDefault="00A47D95">
      <w:r>
        <w:separator/>
      </w:r>
    </w:p>
  </w:footnote>
  <w:footnote w:type="continuationSeparator" w:id="0">
    <w:p w14:paraId="72C74078" w14:textId="77777777" w:rsidR="00A47D95" w:rsidRDefault="00A47D95">
      <w:r>
        <w:continuationSeparator/>
      </w:r>
    </w:p>
  </w:footnote>
  <w:footnote w:id="1">
    <w:p w14:paraId="645C46E1" w14:textId="77777777" w:rsidR="00F757FE" w:rsidRPr="00A919E6" w:rsidRDefault="00F757FE" w:rsidP="00F757FE">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Տնտեսական վերլուծությունների բյուրո, </w:t>
      </w:r>
      <w:hyperlink r:id="rId1" w:history="1">
        <w:r w:rsidRPr="00A919E6">
          <w:rPr>
            <w:rStyle w:val="Hyperlink"/>
            <w:rFonts w:ascii="GHEA Grapalat" w:hAnsi="GHEA Grapalat"/>
            <w:sz w:val="18"/>
            <w:szCs w:val="18"/>
          </w:rPr>
          <w:t>https://www.bea.gov/</w:t>
        </w:r>
      </w:hyperlink>
      <w:r w:rsidRPr="00A919E6">
        <w:rPr>
          <w:rFonts w:ascii="GHEA Grapalat" w:hAnsi="GHEA Grapalat"/>
          <w:sz w:val="18"/>
          <w:szCs w:val="18"/>
        </w:rPr>
        <w:t xml:space="preserve"> </w:t>
      </w:r>
    </w:p>
  </w:footnote>
  <w:footnote w:id="2">
    <w:p w14:paraId="77EE8BBF" w14:textId="77777777" w:rsidR="00B46CAA" w:rsidRPr="00A919E6" w:rsidRDefault="00B46CAA" w:rsidP="00B46CAA">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Եվրոստատ, </w:t>
      </w:r>
      <w:hyperlink r:id="rId2" w:history="1">
        <w:r w:rsidRPr="00A919E6">
          <w:rPr>
            <w:rStyle w:val="Hyperlink"/>
            <w:rFonts w:ascii="GHEA Grapalat" w:hAnsi="GHEA Grapalat"/>
            <w:sz w:val="18"/>
            <w:szCs w:val="18"/>
          </w:rPr>
          <w:t>https://ec.europa.eu/eurostat/</w:t>
        </w:r>
      </w:hyperlink>
      <w:r w:rsidRPr="00A919E6">
        <w:rPr>
          <w:rFonts w:ascii="GHEA Grapalat" w:hAnsi="GHEA Grapalat"/>
          <w:sz w:val="18"/>
          <w:szCs w:val="18"/>
        </w:rPr>
        <w:t xml:space="preserve"> </w:t>
      </w:r>
    </w:p>
  </w:footnote>
  <w:footnote w:id="3">
    <w:p w14:paraId="1123DDAB" w14:textId="77777777" w:rsidR="00A75437" w:rsidRPr="00A919E6" w:rsidRDefault="00A75437" w:rsidP="00A75437">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Չինաստանի վիճակագրության ազգային բյուրո, </w:t>
      </w:r>
      <w:hyperlink r:id="rId3" w:history="1">
        <w:r w:rsidRPr="00A919E6">
          <w:rPr>
            <w:rStyle w:val="Hyperlink"/>
            <w:rFonts w:ascii="GHEA Grapalat" w:hAnsi="GHEA Grapalat"/>
            <w:sz w:val="18"/>
            <w:szCs w:val="18"/>
          </w:rPr>
          <w:t>http://www.stats.gov.cn/</w:t>
        </w:r>
      </w:hyperlink>
    </w:p>
  </w:footnote>
  <w:footnote w:id="4">
    <w:p w14:paraId="524DE590" w14:textId="77777777" w:rsidR="00A75437" w:rsidRPr="00A919E6" w:rsidRDefault="00A75437" w:rsidP="00A75437">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ՌԴ տնտեսական զարգացման նախարարություն, </w:t>
      </w:r>
      <w:hyperlink r:id="rId4" w:history="1">
        <w:r w:rsidRPr="00A919E6">
          <w:rPr>
            <w:rStyle w:val="Hyperlink"/>
            <w:rFonts w:ascii="GHEA Grapalat" w:hAnsi="GHEA Grapalat"/>
            <w:sz w:val="18"/>
            <w:szCs w:val="18"/>
          </w:rPr>
          <w:t>https://economy.gov.ru/</w:t>
        </w:r>
      </w:hyperlink>
    </w:p>
  </w:footnote>
  <w:footnote w:id="5">
    <w:p w14:paraId="26580017" w14:textId="77777777" w:rsidR="0013449A" w:rsidRPr="00335835" w:rsidRDefault="0013449A" w:rsidP="0013449A">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տոկոսադրույքը (</w:t>
      </w:r>
      <w:r w:rsidRPr="00335835">
        <w:rPr>
          <w:rFonts w:ascii="GHEA Grapalat" w:hAnsi="GHEA Grapalat" w:cs="Arial"/>
          <w:color w:val="000000"/>
          <w:sz w:val="18"/>
          <w:szCs w:val="18"/>
          <w:shd w:val="clear" w:color="auto" w:fill="FFFFFF"/>
        </w:rPr>
        <w:t>one-year loan prime rate</w:t>
      </w:r>
      <w:r w:rsidRPr="00335835">
        <w:rPr>
          <w:rFonts w:ascii="GHEA Grapalat" w:hAnsi="GHEA Grapalat"/>
          <w:sz w:val="18"/>
          <w:szCs w:val="18"/>
        </w:rPr>
        <w:t>), ՌԴ՝ հիմնական տոկոսադրույքը:</w:t>
      </w:r>
    </w:p>
  </w:footnote>
  <w:footnote w:id="6">
    <w:p w14:paraId="3506ED00" w14:textId="77777777" w:rsidR="00AA2869" w:rsidRPr="00335835" w:rsidRDefault="00AA2869" w:rsidP="00335835">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Աղբյուրը՝ Համաշխարհային բանկ, </w:t>
      </w:r>
      <w:hyperlink r:id="rId5" w:history="1">
        <w:r w:rsidRPr="00335835">
          <w:rPr>
            <w:rStyle w:val="Hyperlink"/>
            <w:rFonts w:ascii="GHEA Grapalat" w:hAnsi="GHEA Grapalat"/>
            <w:sz w:val="18"/>
            <w:szCs w:val="18"/>
          </w:rPr>
          <w:t>https://www.worldbank.org/en/research/commodity-markets</w:t>
        </w:r>
      </w:hyperlink>
      <w:r w:rsidRPr="00335835">
        <w:rPr>
          <w:rFonts w:ascii="GHEA Grapalat" w:hAnsi="GHEA Grapalat"/>
          <w:sz w:val="18"/>
          <w:szCs w:val="18"/>
        </w:rPr>
        <w:t xml:space="preserve"> </w:t>
      </w:r>
    </w:p>
  </w:footnote>
  <w:footnote w:id="7">
    <w:p w14:paraId="094A7F3A" w14:textId="77777777" w:rsidR="00A75437" w:rsidRPr="00335835" w:rsidRDefault="00A75437" w:rsidP="00A75437">
      <w:pPr>
        <w:pStyle w:val="FootnoteText"/>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Աղբյուրը՝ ՄԱԿ-ի պարենի և գյուղատնտեսության կազմակերպություն </w:t>
      </w:r>
      <w:hyperlink r:id="rId6" w:history="1">
        <w:r w:rsidRPr="00335835">
          <w:rPr>
            <w:rStyle w:val="Hyperlink"/>
            <w:rFonts w:ascii="GHEA Grapalat" w:hAnsi="GHEA Grapalat"/>
            <w:sz w:val="18"/>
            <w:szCs w:val="18"/>
          </w:rPr>
          <w:t>https://www.fao.org/worldfoodsituation/foodpricesindex/en/</w:t>
        </w:r>
      </w:hyperlink>
      <w:r w:rsidRPr="00335835">
        <w:rPr>
          <w:rFonts w:ascii="GHEA Grapalat" w:hAnsi="GHEA Grapalat"/>
          <w:sz w:val="18"/>
          <w:szCs w:val="18"/>
        </w:rPr>
        <w:t xml:space="preserve"> </w:t>
      </w:r>
    </w:p>
  </w:footnote>
  <w:footnote w:id="8">
    <w:p w14:paraId="606E6A0D" w14:textId="77777777" w:rsidR="0013449A" w:rsidRPr="00D874F0" w:rsidRDefault="0013449A" w:rsidP="0013449A">
      <w:pPr>
        <w:pStyle w:val="FootnoteText"/>
        <w:jc w:val="both"/>
        <w:rPr>
          <w:rFonts w:ascii="GHEA Grapalat" w:hAnsi="GHEA Grapalat"/>
          <w:sz w:val="18"/>
          <w:szCs w:val="18"/>
        </w:rPr>
      </w:pPr>
      <w:r w:rsidRPr="009727C2">
        <w:rPr>
          <w:rStyle w:val="FootnoteReference"/>
          <w:rFonts w:ascii="GHEA Grapalat" w:hAnsi="GHEA Grapalat"/>
          <w:sz w:val="18"/>
          <w:szCs w:val="18"/>
        </w:rPr>
        <w:footnoteRef/>
      </w:r>
      <w:r w:rsidRPr="009727C2">
        <w:rPr>
          <w:rFonts w:ascii="GHEA Grapalat" w:hAnsi="GHEA Grapalat"/>
          <w:sz w:val="18"/>
          <w:szCs w:val="18"/>
        </w:rPr>
        <w:t xml:space="preserve"> Աղբյուրը՝ Համաշխարհային բանկ, </w:t>
      </w:r>
      <w:hyperlink r:id="rId7" w:history="1">
        <w:r w:rsidRPr="009727C2">
          <w:rPr>
            <w:rStyle w:val="Hyperlink"/>
            <w:rFonts w:ascii="GHEA Grapalat" w:hAnsi="GHEA Grapalat"/>
            <w:sz w:val="18"/>
            <w:szCs w:val="18"/>
          </w:rPr>
          <w:t>https://www.worldbank.org/en/research/commodity-markets</w:t>
        </w:r>
      </w:hyperlink>
      <w:r w:rsidRPr="009727C2">
        <w:rPr>
          <w:rFonts w:ascii="GHEA Grapalat" w:hAnsi="GHEA Grapalat"/>
          <w:sz w:val="18"/>
          <w:szCs w:val="18"/>
        </w:rPr>
        <w:t xml:space="preserve"> </w:t>
      </w:r>
      <w:r w:rsidRPr="00D874F0">
        <w:rPr>
          <w:rFonts w:ascii="GHEA Grapalat" w:hAnsi="GHEA Grapalat"/>
          <w:sz w:val="18"/>
          <w:szCs w:val="18"/>
        </w:rPr>
        <w:t>,</w:t>
      </w:r>
    </w:p>
    <w:p w14:paraId="06E74FEA" w14:textId="77777777" w:rsidR="0013449A" w:rsidRPr="00D874F0" w:rsidRDefault="0013449A" w:rsidP="0013449A">
      <w:pPr>
        <w:pStyle w:val="FootnoteText"/>
        <w:jc w:val="both"/>
        <w:rPr>
          <w:rFonts w:ascii="GHEA Grapalat" w:hAnsi="GHEA Grapalat"/>
          <w:sz w:val="18"/>
          <w:szCs w:val="18"/>
        </w:rPr>
      </w:pPr>
      <w:r w:rsidRPr="009727C2">
        <w:rPr>
          <w:rFonts w:ascii="GHEA Grapalat" w:hAnsi="GHEA Grapalat"/>
          <w:sz w:val="18"/>
          <w:szCs w:val="18"/>
        </w:rPr>
        <w:t xml:space="preserve">ՄԱԿ – ի պարենի և գյուղատնտեսության կազմակերպություն </w:t>
      </w:r>
      <w:hyperlink r:id="rId8" w:history="1">
        <w:r w:rsidRPr="009727C2">
          <w:rPr>
            <w:rStyle w:val="Hyperlink"/>
            <w:rFonts w:ascii="GHEA Grapalat" w:hAnsi="GHEA Grapalat"/>
            <w:sz w:val="18"/>
            <w:szCs w:val="18"/>
          </w:rPr>
          <w:t>https://www.fao.org/worldfoodsituation/foodpricesindex/en/</w:t>
        </w:r>
      </w:hyperlink>
      <w:r w:rsidRPr="00D874F0">
        <w:rPr>
          <w:rStyle w:val="Hyperlink"/>
          <w:rFonts w:ascii="GHEA Grapalat" w:hAnsi="GHEA Grapalat"/>
          <w:color w:val="auto"/>
          <w:sz w:val="18"/>
          <w:szCs w:val="18"/>
          <w:u w:val="none"/>
        </w:rPr>
        <w:t xml:space="preserve"> :</w:t>
      </w:r>
    </w:p>
  </w:footnote>
  <w:footnote w:id="9">
    <w:p w14:paraId="60F8A47C" w14:textId="7C8B604F" w:rsidR="006426DA" w:rsidRPr="008040E9" w:rsidRDefault="006426DA" w:rsidP="006426DA">
      <w:pPr>
        <w:pStyle w:val="FootnoteText"/>
        <w:jc w:val="both"/>
        <w:rPr>
          <w:rFonts w:ascii="GHEA Grapalat" w:hAnsi="GHEA Grapalat"/>
          <w:sz w:val="18"/>
          <w:szCs w:val="18"/>
          <w:highlight w:val="yellow"/>
        </w:rPr>
      </w:pPr>
      <w:r w:rsidRPr="00823670">
        <w:rPr>
          <w:rStyle w:val="FootnoteReference"/>
          <w:rFonts w:ascii="GHEA Grapalat" w:hAnsi="GHEA Grapalat"/>
          <w:sz w:val="18"/>
          <w:szCs w:val="18"/>
        </w:rPr>
        <w:footnoteRef/>
      </w:r>
      <w:r w:rsidRPr="00823670">
        <w:rPr>
          <w:rFonts w:ascii="GHEA Grapalat" w:hAnsi="GHEA Grapalat"/>
          <w:sz w:val="18"/>
          <w:szCs w:val="18"/>
        </w:rPr>
        <w:t xml:space="preserve"> Ճյուղերի մանրամասն ցուցանիշները ներկայացված են հետևյալ տեղեկանքում՝</w:t>
      </w:r>
      <w:r w:rsidR="00AD1B80" w:rsidRPr="00493BAB">
        <w:rPr>
          <w:rFonts w:ascii="GHEA Grapalat" w:hAnsi="GHEA Grapalat"/>
          <w:sz w:val="18"/>
          <w:szCs w:val="18"/>
        </w:rPr>
        <w:t xml:space="preserve"> </w:t>
      </w:r>
      <w:hyperlink r:id="rId9" w:history="1">
        <w:r w:rsidR="00AD1B80" w:rsidRPr="00493BAB">
          <w:rPr>
            <w:rStyle w:val="Hyperlink"/>
            <w:rFonts w:ascii="GHEA Grapalat" w:hAnsi="GHEA Grapalat"/>
            <w:sz w:val="18"/>
            <w:szCs w:val="18"/>
          </w:rPr>
          <w:t>1.10.Տեղեկանքներ\13.Թողարկում_ արտահանում_ ներմուծում_2025.docx</w:t>
        </w:r>
      </w:hyperlink>
      <w:r w:rsidRPr="00823670">
        <w:rPr>
          <w:rFonts w:ascii="GHEA Grapalat" w:hAnsi="GHEA Grapalat"/>
          <w:sz w:val="18"/>
          <w:szCs w:val="18"/>
        </w:rPr>
        <w:t>:</w:t>
      </w:r>
    </w:p>
  </w:footnote>
  <w:footnote w:id="10">
    <w:p w14:paraId="19CA0B69" w14:textId="77777777" w:rsidR="004D343C" w:rsidRPr="005C7A5B" w:rsidRDefault="004D343C" w:rsidP="004D343C">
      <w:pPr>
        <w:pStyle w:val="FootnoteText"/>
        <w:jc w:val="both"/>
        <w:rPr>
          <w:rFonts w:ascii="GHEA Grapalat" w:hAnsi="GHEA Grapalat"/>
          <w:sz w:val="18"/>
          <w:szCs w:val="18"/>
        </w:rPr>
      </w:pPr>
      <w:r w:rsidRPr="00823670">
        <w:rPr>
          <w:rStyle w:val="FootnoteReference"/>
          <w:rFonts w:ascii="GHEA Grapalat" w:hAnsi="GHEA Grapalat"/>
          <w:sz w:val="18"/>
          <w:szCs w:val="18"/>
        </w:rPr>
        <w:footnoteRef/>
      </w:r>
      <w:r w:rsidRPr="00823670">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w:t>
      </w:r>
    </w:p>
  </w:footnote>
  <w:footnote w:id="11">
    <w:p w14:paraId="303D7002" w14:textId="77777777" w:rsidR="006426DA" w:rsidRPr="005C7A5B" w:rsidRDefault="006426DA" w:rsidP="006426DA">
      <w:pPr>
        <w:jc w:val="both"/>
        <w:rPr>
          <w:rFonts w:ascii="GHEA Grapalat" w:eastAsia="GHEA Grapalat" w:hAnsi="GHEA Grapalat"/>
          <w:color w:val="000000"/>
          <w:sz w:val="18"/>
          <w:szCs w:val="18"/>
        </w:rPr>
      </w:pPr>
      <w:r w:rsidRPr="00BF35A1">
        <w:rPr>
          <w:rFonts w:ascii="GHEA Grapalat" w:eastAsia="GHEA Grapalat" w:hAnsi="GHEA Grapalat"/>
          <w:color w:val="000000"/>
          <w:sz w:val="18"/>
          <w:szCs w:val="18"/>
          <w:vertAlign w:val="superscript"/>
        </w:rPr>
        <w:footnoteRef/>
      </w:r>
      <w:r w:rsidRPr="00BF35A1">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2">
    <w:p w14:paraId="350BEEB1" w14:textId="77777777" w:rsidR="00AA2869" w:rsidRPr="005C7A5B" w:rsidRDefault="00AA2869" w:rsidP="000C67FA">
      <w:pPr>
        <w:pBdr>
          <w:top w:val="nil"/>
          <w:left w:val="nil"/>
          <w:bottom w:val="nil"/>
          <w:right w:val="nil"/>
          <w:between w:val="nil"/>
        </w:pBdr>
        <w:spacing w:line="276" w:lineRule="auto"/>
        <w:jc w:val="both"/>
        <w:rPr>
          <w:rFonts w:ascii="GHEA Grapalat" w:hAnsi="GHEA Grapalat"/>
          <w:sz w:val="18"/>
          <w:szCs w:val="18"/>
        </w:rPr>
      </w:pPr>
      <w:r w:rsidRPr="005C7A5B">
        <w:rPr>
          <w:rStyle w:val="FootnoteReference"/>
          <w:rFonts w:ascii="GHEA Grapalat" w:hAnsi="GHEA Grapalat"/>
          <w:sz w:val="18"/>
          <w:szCs w:val="18"/>
        </w:rPr>
        <w:footnoteRef/>
      </w:r>
      <w:r w:rsidRPr="005C7A5B">
        <w:rPr>
          <w:rFonts w:ascii="GHEA Grapalat" w:eastAsia="GHEA Grapalat" w:hAnsi="GHEA Grapalat" w:cs="GHEA Grapalat"/>
          <w:color w:val="000000"/>
          <w:sz w:val="18"/>
          <w:szCs w:val="18"/>
        </w:rPr>
        <w:t xml:space="preserve"> </w:t>
      </w:r>
      <w:r w:rsidRPr="005C7A5B">
        <w:rPr>
          <w:rFonts w:ascii="GHEA Grapalat" w:hAnsi="GHEA Grapalat"/>
          <w:sz w:val="18"/>
          <w:szCs w:val="18"/>
        </w:rPr>
        <w:t xml:space="preserve">Ներմուծման տվյալները ներկայացված են ՍԻՖ գներով: </w:t>
      </w:r>
    </w:p>
  </w:footnote>
  <w:footnote w:id="13">
    <w:p w14:paraId="1A3EE14B" w14:textId="77777777" w:rsidR="00B33708" w:rsidRPr="00A446BC" w:rsidRDefault="00B33708" w:rsidP="00B33708">
      <w:pPr>
        <w:pStyle w:val="FootnoteText"/>
        <w:jc w:val="both"/>
        <w:rPr>
          <w:rFonts w:ascii="GHEA Grapalat" w:hAnsi="GHEA Grapalat"/>
          <w:iCs/>
          <w:sz w:val="18"/>
          <w:szCs w:val="18"/>
        </w:rPr>
      </w:pPr>
      <w:r w:rsidRPr="00A446BC">
        <w:rPr>
          <w:rStyle w:val="FootnoteReference"/>
          <w:rFonts w:ascii="GHEA Grapalat" w:hAnsi="GHEA Grapalat"/>
          <w:sz w:val="18"/>
          <w:szCs w:val="18"/>
        </w:rPr>
        <w:footnoteRef/>
      </w:r>
      <w:r w:rsidRPr="00A446BC">
        <w:rPr>
          <w:rFonts w:ascii="GHEA Grapalat" w:eastAsia="GHEA Grapalat" w:hAnsi="GHEA Grapalat" w:cs="GHEA Grapalat"/>
          <w:iCs/>
          <w:color w:val="000000"/>
          <w:sz w:val="18"/>
          <w:szCs w:val="18"/>
        </w:rPr>
        <w:t>Մանրամասն ցուցանիշները ներկայացված են</w:t>
      </w:r>
      <w:r w:rsidRPr="00D874F0">
        <w:rPr>
          <w:rFonts w:ascii="GHEA Grapalat" w:eastAsia="GHEA Grapalat" w:hAnsi="GHEA Grapalat" w:cs="GHEA Grapalat"/>
          <w:iCs/>
          <w:color w:val="000000"/>
          <w:sz w:val="18"/>
          <w:szCs w:val="18"/>
        </w:rPr>
        <w:t xml:space="preserve"> հետևյալ</w:t>
      </w:r>
      <w:r w:rsidRPr="00A446BC">
        <w:rPr>
          <w:rFonts w:ascii="GHEA Grapalat" w:eastAsia="GHEA Grapalat" w:hAnsi="GHEA Grapalat" w:cs="GHEA Grapalat"/>
          <w:iCs/>
          <w:color w:val="000000"/>
          <w:sz w:val="18"/>
          <w:szCs w:val="18"/>
        </w:rPr>
        <w:t xml:space="preserve"> </w:t>
      </w:r>
      <w:r w:rsidRPr="00D874F0">
        <w:rPr>
          <w:rFonts w:ascii="GHEA Grapalat" w:eastAsia="GHEA Grapalat" w:hAnsi="GHEA Grapalat" w:cs="GHEA Grapalat"/>
          <w:iCs/>
          <w:color w:val="000000"/>
          <w:sz w:val="18"/>
          <w:szCs w:val="18"/>
        </w:rPr>
        <w:t>տեղեկանք</w:t>
      </w:r>
      <w:r w:rsidRPr="00A446BC">
        <w:rPr>
          <w:rFonts w:ascii="GHEA Grapalat" w:hAnsi="GHEA Grapalat"/>
          <w:sz w:val="18"/>
          <w:szCs w:val="18"/>
        </w:rPr>
        <w:t>ում</w:t>
      </w:r>
      <w:r w:rsidRPr="00D874F0">
        <w:rPr>
          <w:rFonts w:ascii="GHEA Grapalat" w:hAnsi="GHEA Grapalat"/>
          <w:sz w:val="18"/>
          <w:szCs w:val="18"/>
        </w:rPr>
        <w:t xml:space="preserve">՝ </w:t>
      </w:r>
      <w:hyperlink r:id="rId10" w:history="1">
        <w:r w:rsidRPr="00D874F0">
          <w:rPr>
            <w:rStyle w:val="Hyperlink"/>
            <w:rFonts w:ascii="GHEA Grapalat" w:hAnsi="GHEA Grapalat"/>
            <w:sz w:val="18"/>
            <w:szCs w:val="18"/>
          </w:rPr>
          <w:t>1.10.Տեղեկանքներ\13.Թողարկման ծավալ, արտահանում, ներմուծում.docx</w:t>
        </w:r>
      </w:hyperlink>
      <w:r w:rsidRPr="00D874F0">
        <w:rPr>
          <w:rFonts w:ascii="GHEA Grapalat" w:hAnsi="GHEA Grapalat"/>
          <w:sz w:val="18"/>
          <w:szCs w:val="18"/>
        </w:rPr>
        <w:t xml:space="preserve"> </w:t>
      </w:r>
      <w:r w:rsidRPr="00A446BC">
        <w:rPr>
          <w:rFonts w:ascii="GHEA Grapalat" w:eastAsia="GHEA Grapalat" w:hAnsi="GHEA Grapalat" w:cs="GHEA Grapalat"/>
          <w:iCs/>
          <w:color w:val="000000"/>
          <w:sz w:val="18"/>
          <w:szCs w:val="18"/>
        </w:rPr>
        <w:t>:</w:t>
      </w:r>
    </w:p>
  </w:footnote>
  <w:footnote w:id="14">
    <w:p w14:paraId="7955B476" w14:textId="1C48CCF7" w:rsidR="00B33708" w:rsidRPr="0076424C" w:rsidRDefault="00B33708" w:rsidP="0076424C">
      <w:pPr>
        <w:pStyle w:val="FootnoteText"/>
        <w:jc w:val="both"/>
        <w:rPr>
          <w:rFonts w:ascii="GHEA Grapalat" w:eastAsia="GHEA Grapalat" w:hAnsi="GHEA Grapalat" w:cs="GHEA Grapalat"/>
          <w:color w:val="000000"/>
          <w:sz w:val="18"/>
          <w:szCs w:val="18"/>
        </w:rPr>
      </w:pPr>
      <w:r w:rsidRPr="0076424C">
        <w:rPr>
          <w:rStyle w:val="FootnoteReference"/>
          <w:rFonts w:ascii="GHEA Grapalat" w:hAnsi="GHEA Grapalat"/>
          <w:sz w:val="18"/>
          <w:szCs w:val="18"/>
        </w:rPr>
        <w:footnoteRef/>
      </w:r>
      <w:r w:rsidRPr="0076424C">
        <w:rPr>
          <w:rFonts w:ascii="GHEA Grapalat" w:hAnsi="GHEA Grapalat"/>
          <w:sz w:val="18"/>
          <w:szCs w:val="18"/>
        </w:rPr>
        <w:t xml:space="preserve"> </w:t>
      </w:r>
      <w:r w:rsidRPr="0076424C">
        <w:rPr>
          <w:rFonts w:ascii="GHEA Grapalat" w:eastAsia="GHEA Grapalat" w:hAnsi="GHEA Grapalat" w:cs="GHEA Grapalat"/>
          <w:color w:val="000000"/>
          <w:sz w:val="18"/>
          <w:szCs w:val="18"/>
        </w:rPr>
        <w:t>Թեև 2025</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ինն ամիսների բյուջեի կատարման հաշվետվության մեջ նշվել էր, որ ՀՀ դրամի իրական արդյունավետ փոխարժեքը սկսել է արժեզրկվել, սակայն 2024</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սկզբին շարքի վերանայման արդյունքում (որը պայմանավորված էր գործընկեր երկրների տվյալների ճշգրտմամբ)՝ և՛ 2025</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ինն ամիսների, և՛ 2025</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ամբողջական տարվա արդյունքներով արձանագրվել է իրական արդյունավետ փոխարժեքի արժևորում:</w:t>
      </w:r>
    </w:p>
  </w:footnote>
  <w:footnote w:id="15">
    <w:p w14:paraId="67F9183D" w14:textId="77777777" w:rsidR="00B33708" w:rsidRPr="00731FE8" w:rsidRDefault="00B33708" w:rsidP="00B33708">
      <w:pPr>
        <w:pStyle w:val="FootnoteText"/>
        <w:jc w:val="both"/>
        <w:rPr>
          <w:rFonts w:ascii="GHEA Grapalat" w:hAnsi="GHEA Grapalat"/>
          <w:sz w:val="18"/>
          <w:szCs w:val="18"/>
        </w:rPr>
      </w:pPr>
      <w:r w:rsidRPr="00731FE8">
        <w:rPr>
          <w:rStyle w:val="FootnoteReference"/>
          <w:rFonts w:ascii="GHEA Grapalat" w:hAnsi="GHEA Grapalat"/>
          <w:sz w:val="18"/>
          <w:szCs w:val="18"/>
        </w:rPr>
        <w:footnoteRef/>
      </w:r>
      <w:r w:rsidRPr="00731FE8">
        <w:rPr>
          <w:rFonts w:ascii="GHEA Grapalat" w:hAnsi="GHEA Grapalat"/>
          <w:sz w:val="18"/>
          <w:szCs w:val="18"/>
        </w:rPr>
        <w:t xml:space="preserve"> </w:t>
      </w:r>
      <w:r w:rsidRPr="00731FE8">
        <w:rPr>
          <w:rFonts w:ascii="GHEA Grapalat" w:hAnsi="GHEA Grapalat" w:cs="Sylfaen"/>
          <w:sz w:val="18"/>
          <w:szCs w:val="18"/>
        </w:rPr>
        <w:t>Աղբյուր՝ ՀՀ ԿԲ:</w:t>
      </w:r>
    </w:p>
  </w:footnote>
  <w:footnote w:id="16">
    <w:p w14:paraId="5A23C249" w14:textId="77777777" w:rsidR="00B33708" w:rsidRPr="002C0630" w:rsidRDefault="00B33708" w:rsidP="00B33708">
      <w:pPr>
        <w:pStyle w:val="FootnoteText"/>
        <w:tabs>
          <w:tab w:val="left" w:pos="142"/>
        </w:tabs>
        <w:jc w:val="both"/>
        <w:rPr>
          <w:rFonts w:ascii="GHEA Grapalat" w:hAnsi="GHEA Grapalat" w:cs="Sylfaen"/>
          <w:sz w:val="18"/>
          <w:szCs w:val="18"/>
        </w:rPr>
      </w:pPr>
      <w:r w:rsidRPr="00583AC3">
        <w:rPr>
          <w:rStyle w:val="FootnoteReference"/>
          <w:rFonts w:ascii="GHEA Grapalat" w:hAnsi="GHEA Grapalat"/>
          <w:sz w:val="18"/>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621F2" w14:textId="572BB4C5" w:rsidR="00AA2869" w:rsidRDefault="00AA2869" w:rsidP="00B41540">
    <w:pPr>
      <w:pStyle w:val="Header"/>
      <w:jc w:val="right"/>
      <w:rPr>
        <w:lang w:val="en-US"/>
      </w:rPr>
    </w:pPr>
  </w:p>
  <w:p w14:paraId="1C90E69B" w14:textId="5AD22708" w:rsidR="00AA2869" w:rsidRDefault="00AA2869">
    <w:pPr>
      <w:pStyle w:val="Header"/>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930E93A"/>
    <w:lvl w:ilvl="0">
      <w:numFmt w:val="decimal"/>
      <w:pStyle w:val="Bullet"/>
      <w:lvlText w:val="*"/>
      <w:lvlJc w:val="left"/>
      <w:rPr>
        <w:rFonts w:cs="Times New Roman"/>
      </w:rPr>
    </w:lvl>
  </w:abstractNum>
  <w:abstractNum w:abstractNumId="1" w15:restartNumberingAfterBreak="0">
    <w:nsid w:val="027149BA"/>
    <w:multiLevelType w:val="multilevel"/>
    <w:tmpl w:val="F5069F58"/>
    <w:lvl w:ilvl="0">
      <w:start w:val="1"/>
      <w:numFmt w:val="decimal"/>
      <w:lvlText w:val="%1.2."/>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C3F6FE0"/>
    <w:multiLevelType w:val="multilevel"/>
    <w:tmpl w:val="AF5CF0EE"/>
    <w:lvl w:ilvl="0">
      <w:start w:val="1"/>
      <w:numFmt w:val="bullet"/>
      <w:pStyle w:val="Bulleted"/>
      <w:lvlText w:val=""/>
      <w:lvlJc w:val="left"/>
      <w:pPr>
        <w:ind w:left="1633" w:hanging="357"/>
      </w:pPr>
      <w:rPr>
        <w:rFonts w:ascii="Symbol" w:hAnsi="Symbol" w:hint="default"/>
        <w:lang w:val="en-GB"/>
      </w:rPr>
    </w:lvl>
    <w:lvl w:ilvl="1">
      <w:start w:val="1"/>
      <w:numFmt w:val="bullet"/>
      <w:lvlText w:val="o"/>
      <w:lvlJc w:val="left"/>
      <w:pPr>
        <w:ind w:left="714" w:hanging="357"/>
      </w:pPr>
      <w:rPr>
        <w:rFonts w:ascii="Courier New" w:hAnsi="Courier New" w:cs="Times New Roman"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cs="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cs="Courier New" w:hint="default"/>
      </w:rPr>
    </w:lvl>
    <w:lvl w:ilvl="8">
      <w:start w:val="1"/>
      <w:numFmt w:val="bullet"/>
      <w:lvlText w:val=""/>
      <w:lvlJc w:val="left"/>
      <w:pPr>
        <w:ind w:left="7064" w:hanging="360"/>
      </w:pPr>
      <w:rPr>
        <w:rFonts w:ascii="Wingdings" w:hAnsi="Wingdings" w:hint="default"/>
      </w:rPr>
    </w:lvl>
  </w:abstractNum>
  <w:abstractNum w:abstractNumId="3"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4AC2483E"/>
    <w:multiLevelType w:val="multilevel"/>
    <w:tmpl w:val="205826AC"/>
    <w:lvl w:ilvl="0">
      <w:start w:val="1"/>
      <w:numFmt w:val="decimal"/>
      <w:pStyle w:val="Heading1"/>
      <w:lvlText w:val="%1"/>
      <w:lvlJc w:val="left"/>
      <w:pPr>
        <w:ind w:left="432" w:hanging="432"/>
      </w:pPr>
    </w:lvl>
    <w:lvl w:ilvl="1">
      <w:start w:val="1"/>
      <w:numFmt w:val="decimal"/>
      <w:lvlText w:val="%2.2.1."/>
      <w:lvlJc w:val="left"/>
      <w:pPr>
        <w:ind w:left="576" w:hanging="576"/>
      </w:pPr>
      <w:rPr>
        <w:rFonts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6" w15:restartNumberingAfterBreak="0">
    <w:nsid w:val="56C45AB1"/>
    <w:multiLevelType w:val="multilevel"/>
    <w:tmpl w:val="F020AB6C"/>
    <w:lvl w:ilvl="0">
      <w:start w:val="1"/>
      <w:numFmt w:val="decimal"/>
      <w:lvlText w:val="%1."/>
      <w:lvlJc w:val="left"/>
      <w:pPr>
        <w:ind w:left="570" w:hanging="57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63113C22"/>
    <w:multiLevelType w:val="hybridMultilevel"/>
    <w:tmpl w:val="5A0E4CFA"/>
    <w:lvl w:ilvl="0" w:tplc="63845F3A">
      <w:start w:val="1"/>
      <w:numFmt w:val="decimal"/>
      <w:pStyle w:val="a"/>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9"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3"/>
  </w:num>
  <w:num w:numId="3">
    <w:abstractNumId w:val="8"/>
  </w:num>
  <w:num w:numId="4">
    <w:abstractNumId w:val="5"/>
  </w:num>
  <w:num w:numId="5">
    <w:abstractNumId w:val="7"/>
  </w:num>
  <w:num w:numId="6">
    <w:abstractNumId w:val="9"/>
  </w:num>
  <w:num w:numId="7">
    <w:abstractNumId w:val="2"/>
  </w:num>
  <w:num w:numId="8">
    <w:abstractNumId w:val="1"/>
  </w:num>
  <w:num w:numId="9">
    <w:abstractNumId w:val="4"/>
  </w:num>
  <w:num w:numId="10">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US" w:vendorID="64" w:dllVersion="0"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A3F"/>
    <w:rsid w:val="000001C8"/>
    <w:rsid w:val="00000201"/>
    <w:rsid w:val="000004F7"/>
    <w:rsid w:val="0000055D"/>
    <w:rsid w:val="0000077D"/>
    <w:rsid w:val="00000899"/>
    <w:rsid w:val="00000968"/>
    <w:rsid w:val="00000A98"/>
    <w:rsid w:val="00000D3B"/>
    <w:rsid w:val="00000F60"/>
    <w:rsid w:val="000013F4"/>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AF"/>
    <w:rsid w:val="00002329"/>
    <w:rsid w:val="0000239B"/>
    <w:rsid w:val="0000249B"/>
    <w:rsid w:val="00002726"/>
    <w:rsid w:val="000027BA"/>
    <w:rsid w:val="0000288C"/>
    <w:rsid w:val="00002A60"/>
    <w:rsid w:val="00002C17"/>
    <w:rsid w:val="00002CDA"/>
    <w:rsid w:val="00002CFC"/>
    <w:rsid w:val="00002F7D"/>
    <w:rsid w:val="00003294"/>
    <w:rsid w:val="0000329C"/>
    <w:rsid w:val="000034E6"/>
    <w:rsid w:val="000034F4"/>
    <w:rsid w:val="00003559"/>
    <w:rsid w:val="000035B8"/>
    <w:rsid w:val="00003719"/>
    <w:rsid w:val="0000372F"/>
    <w:rsid w:val="0000390E"/>
    <w:rsid w:val="000039EB"/>
    <w:rsid w:val="00003A46"/>
    <w:rsid w:val="00003B2F"/>
    <w:rsid w:val="00003BD4"/>
    <w:rsid w:val="00003CA3"/>
    <w:rsid w:val="00003E78"/>
    <w:rsid w:val="00004019"/>
    <w:rsid w:val="0000409B"/>
    <w:rsid w:val="00004165"/>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C68"/>
    <w:rsid w:val="00006FD6"/>
    <w:rsid w:val="00007270"/>
    <w:rsid w:val="00007399"/>
    <w:rsid w:val="00007463"/>
    <w:rsid w:val="00007575"/>
    <w:rsid w:val="0000762D"/>
    <w:rsid w:val="0000766F"/>
    <w:rsid w:val="000078BF"/>
    <w:rsid w:val="000079A0"/>
    <w:rsid w:val="00007A23"/>
    <w:rsid w:val="00007AA8"/>
    <w:rsid w:val="00007ABF"/>
    <w:rsid w:val="00007F76"/>
    <w:rsid w:val="00010289"/>
    <w:rsid w:val="0001045D"/>
    <w:rsid w:val="00010549"/>
    <w:rsid w:val="0001056E"/>
    <w:rsid w:val="000105DC"/>
    <w:rsid w:val="0001087C"/>
    <w:rsid w:val="0001098E"/>
    <w:rsid w:val="00010D32"/>
    <w:rsid w:val="00011363"/>
    <w:rsid w:val="000117CA"/>
    <w:rsid w:val="0001194E"/>
    <w:rsid w:val="00011A21"/>
    <w:rsid w:val="00011AAB"/>
    <w:rsid w:val="00011ACC"/>
    <w:rsid w:val="00011B39"/>
    <w:rsid w:val="00011B85"/>
    <w:rsid w:val="00011C5D"/>
    <w:rsid w:val="00011CC2"/>
    <w:rsid w:val="00011E94"/>
    <w:rsid w:val="00011F37"/>
    <w:rsid w:val="00011FC0"/>
    <w:rsid w:val="00012070"/>
    <w:rsid w:val="000120AF"/>
    <w:rsid w:val="0001219F"/>
    <w:rsid w:val="00012255"/>
    <w:rsid w:val="000129E4"/>
    <w:rsid w:val="00012B31"/>
    <w:rsid w:val="00012D91"/>
    <w:rsid w:val="000130AE"/>
    <w:rsid w:val="000130B5"/>
    <w:rsid w:val="00013357"/>
    <w:rsid w:val="000133F2"/>
    <w:rsid w:val="0001340F"/>
    <w:rsid w:val="0001385D"/>
    <w:rsid w:val="0001386B"/>
    <w:rsid w:val="00013944"/>
    <w:rsid w:val="000139F1"/>
    <w:rsid w:val="00013ABE"/>
    <w:rsid w:val="00013D2C"/>
    <w:rsid w:val="00013D5A"/>
    <w:rsid w:val="0001421E"/>
    <w:rsid w:val="0001423F"/>
    <w:rsid w:val="000144FE"/>
    <w:rsid w:val="000145E3"/>
    <w:rsid w:val="000148F8"/>
    <w:rsid w:val="00014B38"/>
    <w:rsid w:val="00015089"/>
    <w:rsid w:val="000152BB"/>
    <w:rsid w:val="000159B6"/>
    <w:rsid w:val="00015A31"/>
    <w:rsid w:val="00015AB1"/>
    <w:rsid w:val="00015ADA"/>
    <w:rsid w:val="00015BCC"/>
    <w:rsid w:val="00015ED0"/>
    <w:rsid w:val="00016109"/>
    <w:rsid w:val="0001616A"/>
    <w:rsid w:val="0001616F"/>
    <w:rsid w:val="0001642F"/>
    <w:rsid w:val="000164F5"/>
    <w:rsid w:val="0001659C"/>
    <w:rsid w:val="0001673A"/>
    <w:rsid w:val="00016A2C"/>
    <w:rsid w:val="00016B8C"/>
    <w:rsid w:val="00017026"/>
    <w:rsid w:val="000170A9"/>
    <w:rsid w:val="0001725A"/>
    <w:rsid w:val="000176F9"/>
    <w:rsid w:val="0001780E"/>
    <w:rsid w:val="00017907"/>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12A"/>
    <w:rsid w:val="0002225C"/>
    <w:rsid w:val="0002238B"/>
    <w:rsid w:val="0002250B"/>
    <w:rsid w:val="0002251F"/>
    <w:rsid w:val="0002257C"/>
    <w:rsid w:val="0002276D"/>
    <w:rsid w:val="00022940"/>
    <w:rsid w:val="00022A0A"/>
    <w:rsid w:val="00022FB0"/>
    <w:rsid w:val="0002309C"/>
    <w:rsid w:val="000231F5"/>
    <w:rsid w:val="000232BA"/>
    <w:rsid w:val="0002339B"/>
    <w:rsid w:val="000238B6"/>
    <w:rsid w:val="0002390E"/>
    <w:rsid w:val="000239D1"/>
    <w:rsid w:val="00023BB4"/>
    <w:rsid w:val="00023CB9"/>
    <w:rsid w:val="00023E1F"/>
    <w:rsid w:val="00023F28"/>
    <w:rsid w:val="00023F85"/>
    <w:rsid w:val="00023F8C"/>
    <w:rsid w:val="0002423F"/>
    <w:rsid w:val="00024472"/>
    <w:rsid w:val="000244A1"/>
    <w:rsid w:val="000245BC"/>
    <w:rsid w:val="0002464A"/>
    <w:rsid w:val="000248C0"/>
    <w:rsid w:val="000248F0"/>
    <w:rsid w:val="0002495B"/>
    <w:rsid w:val="000249E0"/>
    <w:rsid w:val="00024A5F"/>
    <w:rsid w:val="00024CC7"/>
    <w:rsid w:val="00024EF6"/>
    <w:rsid w:val="000251DC"/>
    <w:rsid w:val="00025498"/>
    <w:rsid w:val="000255BC"/>
    <w:rsid w:val="000257AA"/>
    <w:rsid w:val="000259A6"/>
    <w:rsid w:val="00025C48"/>
    <w:rsid w:val="00025E32"/>
    <w:rsid w:val="00025E47"/>
    <w:rsid w:val="000260C2"/>
    <w:rsid w:val="000260D9"/>
    <w:rsid w:val="0002614E"/>
    <w:rsid w:val="000263B5"/>
    <w:rsid w:val="000263D5"/>
    <w:rsid w:val="00026500"/>
    <w:rsid w:val="000265A9"/>
    <w:rsid w:val="00026637"/>
    <w:rsid w:val="000266CA"/>
    <w:rsid w:val="00026797"/>
    <w:rsid w:val="00026B79"/>
    <w:rsid w:val="00026CE2"/>
    <w:rsid w:val="00026D8D"/>
    <w:rsid w:val="00026F8B"/>
    <w:rsid w:val="00027065"/>
    <w:rsid w:val="00027233"/>
    <w:rsid w:val="00027356"/>
    <w:rsid w:val="000274EF"/>
    <w:rsid w:val="000277EE"/>
    <w:rsid w:val="00027945"/>
    <w:rsid w:val="00027946"/>
    <w:rsid w:val="00027961"/>
    <w:rsid w:val="00027B33"/>
    <w:rsid w:val="0003005B"/>
    <w:rsid w:val="0003014C"/>
    <w:rsid w:val="000305EF"/>
    <w:rsid w:val="000307F1"/>
    <w:rsid w:val="000308F0"/>
    <w:rsid w:val="00030AA1"/>
    <w:rsid w:val="00030C2B"/>
    <w:rsid w:val="00030CCC"/>
    <w:rsid w:val="00030D64"/>
    <w:rsid w:val="00030F29"/>
    <w:rsid w:val="00030FD4"/>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442"/>
    <w:rsid w:val="000336A2"/>
    <w:rsid w:val="00033705"/>
    <w:rsid w:val="000337E0"/>
    <w:rsid w:val="0003398D"/>
    <w:rsid w:val="00033B82"/>
    <w:rsid w:val="00033C09"/>
    <w:rsid w:val="00033E77"/>
    <w:rsid w:val="00033E86"/>
    <w:rsid w:val="000340F2"/>
    <w:rsid w:val="00034509"/>
    <w:rsid w:val="00034523"/>
    <w:rsid w:val="000345E0"/>
    <w:rsid w:val="00034625"/>
    <w:rsid w:val="00034830"/>
    <w:rsid w:val="00034898"/>
    <w:rsid w:val="000348F5"/>
    <w:rsid w:val="00034B2C"/>
    <w:rsid w:val="00034B9C"/>
    <w:rsid w:val="00034C5E"/>
    <w:rsid w:val="00034CB9"/>
    <w:rsid w:val="00034CDB"/>
    <w:rsid w:val="00034DB5"/>
    <w:rsid w:val="0003558D"/>
    <w:rsid w:val="000356C9"/>
    <w:rsid w:val="00035754"/>
    <w:rsid w:val="00035C58"/>
    <w:rsid w:val="00035CED"/>
    <w:rsid w:val="00035DCA"/>
    <w:rsid w:val="00035E48"/>
    <w:rsid w:val="00035F54"/>
    <w:rsid w:val="000360D4"/>
    <w:rsid w:val="00036158"/>
    <w:rsid w:val="00036436"/>
    <w:rsid w:val="00036437"/>
    <w:rsid w:val="000364B7"/>
    <w:rsid w:val="00036BD3"/>
    <w:rsid w:val="00036BD7"/>
    <w:rsid w:val="00036D86"/>
    <w:rsid w:val="00036DA7"/>
    <w:rsid w:val="00036E08"/>
    <w:rsid w:val="00036E99"/>
    <w:rsid w:val="00036F02"/>
    <w:rsid w:val="00036F86"/>
    <w:rsid w:val="00036F92"/>
    <w:rsid w:val="00037062"/>
    <w:rsid w:val="0003709F"/>
    <w:rsid w:val="00037178"/>
    <w:rsid w:val="000374A5"/>
    <w:rsid w:val="000375BF"/>
    <w:rsid w:val="00037658"/>
    <w:rsid w:val="00037896"/>
    <w:rsid w:val="00037A81"/>
    <w:rsid w:val="00037B6E"/>
    <w:rsid w:val="00037BB9"/>
    <w:rsid w:val="00037BF7"/>
    <w:rsid w:val="00037E80"/>
    <w:rsid w:val="00037EB7"/>
    <w:rsid w:val="00037F24"/>
    <w:rsid w:val="0004004B"/>
    <w:rsid w:val="000400D6"/>
    <w:rsid w:val="00040159"/>
    <w:rsid w:val="000402A0"/>
    <w:rsid w:val="000407BB"/>
    <w:rsid w:val="0004083B"/>
    <w:rsid w:val="00040A59"/>
    <w:rsid w:val="00040B1C"/>
    <w:rsid w:val="00040BD0"/>
    <w:rsid w:val="00040CA2"/>
    <w:rsid w:val="00040D21"/>
    <w:rsid w:val="00040D40"/>
    <w:rsid w:val="00040D86"/>
    <w:rsid w:val="00040ED8"/>
    <w:rsid w:val="00040F7F"/>
    <w:rsid w:val="00040F87"/>
    <w:rsid w:val="00040FF6"/>
    <w:rsid w:val="00041219"/>
    <w:rsid w:val="00041372"/>
    <w:rsid w:val="000413A7"/>
    <w:rsid w:val="000414D5"/>
    <w:rsid w:val="00041524"/>
    <w:rsid w:val="0004160D"/>
    <w:rsid w:val="000416C2"/>
    <w:rsid w:val="000416DA"/>
    <w:rsid w:val="00041797"/>
    <w:rsid w:val="0004195D"/>
    <w:rsid w:val="000421EA"/>
    <w:rsid w:val="00042334"/>
    <w:rsid w:val="00042442"/>
    <w:rsid w:val="00042508"/>
    <w:rsid w:val="000429A5"/>
    <w:rsid w:val="00042C8D"/>
    <w:rsid w:val="00042E35"/>
    <w:rsid w:val="00042F7D"/>
    <w:rsid w:val="00043011"/>
    <w:rsid w:val="0004311E"/>
    <w:rsid w:val="00043383"/>
    <w:rsid w:val="00043398"/>
    <w:rsid w:val="00043538"/>
    <w:rsid w:val="00043624"/>
    <w:rsid w:val="0004364C"/>
    <w:rsid w:val="000437A2"/>
    <w:rsid w:val="00043900"/>
    <w:rsid w:val="000439D8"/>
    <w:rsid w:val="000439DC"/>
    <w:rsid w:val="00043E5C"/>
    <w:rsid w:val="00044400"/>
    <w:rsid w:val="0004463F"/>
    <w:rsid w:val="00044681"/>
    <w:rsid w:val="000446D3"/>
    <w:rsid w:val="00044741"/>
    <w:rsid w:val="0004487F"/>
    <w:rsid w:val="000449D7"/>
    <w:rsid w:val="00044A33"/>
    <w:rsid w:val="00044D55"/>
    <w:rsid w:val="00044DE9"/>
    <w:rsid w:val="00044EDF"/>
    <w:rsid w:val="00045048"/>
    <w:rsid w:val="0004504F"/>
    <w:rsid w:val="0004507F"/>
    <w:rsid w:val="00045574"/>
    <w:rsid w:val="000456D0"/>
    <w:rsid w:val="000456F8"/>
    <w:rsid w:val="000458CA"/>
    <w:rsid w:val="00045BB0"/>
    <w:rsid w:val="00045D3D"/>
    <w:rsid w:val="00045D84"/>
    <w:rsid w:val="00045EAD"/>
    <w:rsid w:val="00045FA7"/>
    <w:rsid w:val="000463A3"/>
    <w:rsid w:val="00046700"/>
    <w:rsid w:val="00046899"/>
    <w:rsid w:val="00046A53"/>
    <w:rsid w:val="00046B4A"/>
    <w:rsid w:val="00046B7A"/>
    <w:rsid w:val="00047060"/>
    <w:rsid w:val="0004726C"/>
    <w:rsid w:val="000473B5"/>
    <w:rsid w:val="000474EF"/>
    <w:rsid w:val="0004776B"/>
    <w:rsid w:val="000477C5"/>
    <w:rsid w:val="00047926"/>
    <w:rsid w:val="00047FBF"/>
    <w:rsid w:val="0005002A"/>
    <w:rsid w:val="000500ED"/>
    <w:rsid w:val="000501AA"/>
    <w:rsid w:val="00050518"/>
    <w:rsid w:val="00050538"/>
    <w:rsid w:val="00050581"/>
    <w:rsid w:val="00050B4E"/>
    <w:rsid w:val="00050C20"/>
    <w:rsid w:val="00050D45"/>
    <w:rsid w:val="00050EA5"/>
    <w:rsid w:val="00050F26"/>
    <w:rsid w:val="00050F65"/>
    <w:rsid w:val="0005107D"/>
    <w:rsid w:val="00051103"/>
    <w:rsid w:val="00051429"/>
    <w:rsid w:val="000514A6"/>
    <w:rsid w:val="0005176D"/>
    <w:rsid w:val="00051A47"/>
    <w:rsid w:val="00051AE2"/>
    <w:rsid w:val="00051B91"/>
    <w:rsid w:val="00051F57"/>
    <w:rsid w:val="00052155"/>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AB"/>
    <w:rsid w:val="00053464"/>
    <w:rsid w:val="00053980"/>
    <w:rsid w:val="00054112"/>
    <w:rsid w:val="00054625"/>
    <w:rsid w:val="00054722"/>
    <w:rsid w:val="000547F5"/>
    <w:rsid w:val="0005482D"/>
    <w:rsid w:val="00054932"/>
    <w:rsid w:val="00054AE9"/>
    <w:rsid w:val="00054B84"/>
    <w:rsid w:val="00054D31"/>
    <w:rsid w:val="00054DA3"/>
    <w:rsid w:val="00054F17"/>
    <w:rsid w:val="00054F72"/>
    <w:rsid w:val="000550A3"/>
    <w:rsid w:val="000550DF"/>
    <w:rsid w:val="00055179"/>
    <w:rsid w:val="0005536E"/>
    <w:rsid w:val="00055703"/>
    <w:rsid w:val="000557C3"/>
    <w:rsid w:val="00055A38"/>
    <w:rsid w:val="00055BA5"/>
    <w:rsid w:val="000560DC"/>
    <w:rsid w:val="00056123"/>
    <w:rsid w:val="00056332"/>
    <w:rsid w:val="000563FD"/>
    <w:rsid w:val="00056679"/>
    <w:rsid w:val="0005674E"/>
    <w:rsid w:val="000567C9"/>
    <w:rsid w:val="000569B0"/>
    <w:rsid w:val="00056C73"/>
    <w:rsid w:val="00056F52"/>
    <w:rsid w:val="00057011"/>
    <w:rsid w:val="000571D1"/>
    <w:rsid w:val="000572E3"/>
    <w:rsid w:val="00057471"/>
    <w:rsid w:val="0005793D"/>
    <w:rsid w:val="00057A29"/>
    <w:rsid w:val="00057AE1"/>
    <w:rsid w:val="00057B38"/>
    <w:rsid w:val="00057C7D"/>
    <w:rsid w:val="00057D79"/>
    <w:rsid w:val="00057DFB"/>
    <w:rsid w:val="00057E80"/>
    <w:rsid w:val="00057E8E"/>
    <w:rsid w:val="00060174"/>
    <w:rsid w:val="00060343"/>
    <w:rsid w:val="000603E6"/>
    <w:rsid w:val="00060495"/>
    <w:rsid w:val="000605DE"/>
    <w:rsid w:val="000606CB"/>
    <w:rsid w:val="0006091B"/>
    <w:rsid w:val="00060AB5"/>
    <w:rsid w:val="00060B69"/>
    <w:rsid w:val="00061140"/>
    <w:rsid w:val="00061182"/>
    <w:rsid w:val="000611AB"/>
    <w:rsid w:val="00061217"/>
    <w:rsid w:val="00061730"/>
    <w:rsid w:val="00061813"/>
    <w:rsid w:val="0006191E"/>
    <w:rsid w:val="00061940"/>
    <w:rsid w:val="00061A1E"/>
    <w:rsid w:val="00061C33"/>
    <w:rsid w:val="00061EC8"/>
    <w:rsid w:val="00062011"/>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B51"/>
    <w:rsid w:val="00063C40"/>
    <w:rsid w:val="00063C5C"/>
    <w:rsid w:val="00064156"/>
    <w:rsid w:val="000641AC"/>
    <w:rsid w:val="000645E3"/>
    <w:rsid w:val="000646A8"/>
    <w:rsid w:val="00064AA8"/>
    <w:rsid w:val="00064C62"/>
    <w:rsid w:val="00064F9A"/>
    <w:rsid w:val="00064FA4"/>
    <w:rsid w:val="000651AA"/>
    <w:rsid w:val="000652F1"/>
    <w:rsid w:val="00065421"/>
    <w:rsid w:val="0006559D"/>
    <w:rsid w:val="000656BC"/>
    <w:rsid w:val="00065AE2"/>
    <w:rsid w:val="00065B24"/>
    <w:rsid w:val="00065D0A"/>
    <w:rsid w:val="00065E25"/>
    <w:rsid w:val="00065EE3"/>
    <w:rsid w:val="00065F71"/>
    <w:rsid w:val="000661C4"/>
    <w:rsid w:val="00066269"/>
    <w:rsid w:val="00066505"/>
    <w:rsid w:val="000666D5"/>
    <w:rsid w:val="00066827"/>
    <w:rsid w:val="00066909"/>
    <w:rsid w:val="00066948"/>
    <w:rsid w:val="00066E46"/>
    <w:rsid w:val="00066EA1"/>
    <w:rsid w:val="00067036"/>
    <w:rsid w:val="000670C7"/>
    <w:rsid w:val="000671F6"/>
    <w:rsid w:val="000672F4"/>
    <w:rsid w:val="0006759A"/>
    <w:rsid w:val="000675BA"/>
    <w:rsid w:val="000676C2"/>
    <w:rsid w:val="0006799A"/>
    <w:rsid w:val="000703A9"/>
    <w:rsid w:val="00070805"/>
    <w:rsid w:val="00070906"/>
    <w:rsid w:val="00070979"/>
    <w:rsid w:val="000709B5"/>
    <w:rsid w:val="000709D6"/>
    <w:rsid w:val="00070B61"/>
    <w:rsid w:val="00070DAB"/>
    <w:rsid w:val="00070FE5"/>
    <w:rsid w:val="0007124C"/>
    <w:rsid w:val="0007139D"/>
    <w:rsid w:val="000713DB"/>
    <w:rsid w:val="00071908"/>
    <w:rsid w:val="0007197F"/>
    <w:rsid w:val="00071A75"/>
    <w:rsid w:val="00071AF3"/>
    <w:rsid w:val="00071C16"/>
    <w:rsid w:val="00071C80"/>
    <w:rsid w:val="00071CCA"/>
    <w:rsid w:val="00071E2F"/>
    <w:rsid w:val="00071ED7"/>
    <w:rsid w:val="000720AF"/>
    <w:rsid w:val="0007228D"/>
    <w:rsid w:val="000723C6"/>
    <w:rsid w:val="00072615"/>
    <w:rsid w:val="0007273F"/>
    <w:rsid w:val="0007288D"/>
    <w:rsid w:val="00072B11"/>
    <w:rsid w:val="00072CD1"/>
    <w:rsid w:val="00073034"/>
    <w:rsid w:val="0007304C"/>
    <w:rsid w:val="00073103"/>
    <w:rsid w:val="00073364"/>
    <w:rsid w:val="000734B5"/>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7C5"/>
    <w:rsid w:val="00075981"/>
    <w:rsid w:val="00075996"/>
    <w:rsid w:val="00075A8B"/>
    <w:rsid w:val="00075AB7"/>
    <w:rsid w:val="00075B1C"/>
    <w:rsid w:val="00075C88"/>
    <w:rsid w:val="00075E0C"/>
    <w:rsid w:val="00075FEB"/>
    <w:rsid w:val="000760B1"/>
    <w:rsid w:val="000761DC"/>
    <w:rsid w:val="00076317"/>
    <w:rsid w:val="0007649F"/>
    <w:rsid w:val="000764F4"/>
    <w:rsid w:val="000767C7"/>
    <w:rsid w:val="000768A7"/>
    <w:rsid w:val="00076ABA"/>
    <w:rsid w:val="00076DA7"/>
    <w:rsid w:val="00076EC8"/>
    <w:rsid w:val="00076F68"/>
    <w:rsid w:val="00077273"/>
    <w:rsid w:val="000772F8"/>
    <w:rsid w:val="000774EA"/>
    <w:rsid w:val="0007750A"/>
    <w:rsid w:val="0007764B"/>
    <w:rsid w:val="000778F8"/>
    <w:rsid w:val="00077952"/>
    <w:rsid w:val="00077A78"/>
    <w:rsid w:val="00077B94"/>
    <w:rsid w:val="00077C8F"/>
    <w:rsid w:val="00077E43"/>
    <w:rsid w:val="00077F9C"/>
    <w:rsid w:val="00080362"/>
    <w:rsid w:val="0008040B"/>
    <w:rsid w:val="0008074D"/>
    <w:rsid w:val="00080797"/>
    <w:rsid w:val="000808EC"/>
    <w:rsid w:val="00080906"/>
    <w:rsid w:val="00080961"/>
    <w:rsid w:val="00080CC6"/>
    <w:rsid w:val="00080CE7"/>
    <w:rsid w:val="00080DE0"/>
    <w:rsid w:val="00081319"/>
    <w:rsid w:val="0008137A"/>
    <w:rsid w:val="000814A8"/>
    <w:rsid w:val="0008180F"/>
    <w:rsid w:val="000819D9"/>
    <w:rsid w:val="00081A60"/>
    <w:rsid w:val="00081A7D"/>
    <w:rsid w:val="00081B84"/>
    <w:rsid w:val="00081BCF"/>
    <w:rsid w:val="00081D10"/>
    <w:rsid w:val="00081D79"/>
    <w:rsid w:val="00081E27"/>
    <w:rsid w:val="00081E5A"/>
    <w:rsid w:val="00081EAA"/>
    <w:rsid w:val="0008245D"/>
    <w:rsid w:val="00082556"/>
    <w:rsid w:val="00082647"/>
    <w:rsid w:val="00082A15"/>
    <w:rsid w:val="00082BA2"/>
    <w:rsid w:val="00082BFE"/>
    <w:rsid w:val="00082C3F"/>
    <w:rsid w:val="00082CDF"/>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C74"/>
    <w:rsid w:val="00085CF3"/>
    <w:rsid w:val="000861BE"/>
    <w:rsid w:val="000862F4"/>
    <w:rsid w:val="000863B5"/>
    <w:rsid w:val="00086547"/>
    <w:rsid w:val="000865BD"/>
    <w:rsid w:val="00086680"/>
    <w:rsid w:val="00086781"/>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38"/>
    <w:rsid w:val="0009028E"/>
    <w:rsid w:val="000902C4"/>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F5"/>
    <w:rsid w:val="00091942"/>
    <w:rsid w:val="00091B84"/>
    <w:rsid w:val="00091BB0"/>
    <w:rsid w:val="00091DF2"/>
    <w:rsid w:val="00092213"/>
    <w:rsid w:val="00092371"/>
    <w:rsid w:val="000923D0"/>
    <w:rsid w:val="00092436"/>
    <w:rsid w:val="0009244C"/>
    <w:rsid w:val="00092AA0"/>
    <w:rsid w:val="00092C3B"/>
    <w:rsid w:val="00092DA2"/>
    <w:rsid w:val="00092DA3"/>
    <w:rsid w:val="00092DC5"/>
    <w:rsid w:val="00092F3D"/>
    <w:rsid w:val="000937D6"/>
    <w:rsid w:val="00093961"/>
    <w:rsid w:val="000939CD"/>
    <w:rsid w:val="00093A35"/>
    <w:rsid w:val="00093F6B"/>
    <w:rsid w:val="00094045"/>
    <w:rsid w:val="0009407B"/>
    <w:rsid w:val="000940F9"/>
    <w:rsid w:val="00094135"/>
    <w:rsid w:val="00094392"/>
    <w:rsid w:val="00094631"/>
    <w:rsid w:val="0009474D"/>
    <w:rsid w:val="00094789"/>
    <w:rsid w:val="00094AA9"/>
    <w:rsid w:val="00094C98"/>
    <w:rsid w:val="00094DAB"/>
    <w:rsid w:val="00094FE8"/>
    <w:rsid w:val="00095186"/>
    <w:rsid w:val="000953DC"/>
    <w:rsid w:val="000953DE"/>
    <w:rsid w:val="00095555"/>
    <w:rsid w:val="00095732"/>
    <w:rsid w:val="00095A35"/>
    <w:rsid w:val="00095A3E"/>
    <w:rsid w:val="00095DB5"/>
    <w:rsid w:val="00095DCC"/>
    <w:rsid w:val="00095FF6"/>
    <w:rsid w:val="00096066"/>
    <w:rsid w:val="0009609A"/>
    <w:rsid w:val="000961A0"/>
    <w:rsid w:val="000961F6"/>
    <w:rsid w:val="000964D0"/>
    <w:rsid w:val="00096B44"/>
    <w:rsid w:val="00096BAB"/>
    <w:rsid w:val="00096CA4"/>
    <w:rsid w:val="00096D9B"/>
    <w:rsid w:val="00096FDC"/>
    <w:rsid w:val="00097074"/>
    <w:rsid w:val="00097228"/>
    <w:rsid w:val="000972D9"/>
    <w:rsid w:val="000974B8"/>
    <w:rsid w:val="000975AA"/>
    <w:rsid w:val="000976A2"/>
    <w:rsid w:val="0009770F"/>
    <w:rsid w:val="0009788D"/>
    <w:rsid w:val="000979D1"/>
    <w:rsid w:val="00097AC9"/>
    <w:rsid w:val="00097B7B"/>
    <w:rsid w:val="000A0380"/>
    <w:rsid w:val="000A05CF"/>
    <w:rsid w:val="000A0617"/>
    <w:rsid w:val="000A08BE"/>
    <w:rsid w:val="000A0B2B"/>
    <w:rsid w:val="000A0B6E"/>
    <w:rsid w:val="000A0C93"/>
    <w:rsid w:val="000A0CC6"/>
    <w:rsid w:val="000A0DC2"/>
    <w:rsid w:val="000A0E32"/>
    <w:rsid w:val="000A1224"/>
    <w:rsid w:val="000A1435"/>
    <w:rsid w:val="000A14D1"/>
    <w:rsid w:val="000A188F"/>
    <w:rsid w:val="000A1974"/>
    <w:rsid w:val="000A1978"/>
    <w:rsid w:val="000A1CD6"/>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0AE"/>
    <w:rsid w:val="000A4184"/>
    <w:rsid w:val="000A41E0"/>
    <w:rsid w:val="000A437E"/>
    <w:rsid w:val="000A446D"/>
    <w:rsid w:val="000A4978"/>
    <w:rsid w:val="000A49D4"/>
    <w:rsid w:val="000A4A22"/>
    <w:rsid w:val="000A4A7E"/>
    <w:rsid w:val="000A4DA3"/>
    <w:rsid w:val="000A4DEB"/>
    <w:rsid w:val="000A4FE9"/>
    <w:rsid w:val="000A50C7"/>
    <w:rsid w:val="000A51CE"/>
    <w:rsid w:val="000A5256"/>
    <w:rsid w:val="000A52EF"/>
    <w:rsid w:val="000A5325"/>
    <w:rsid w:val="000A5640"/>
    <w:rsid w:val="000A5704"/>
    <w:rsid w:val="000A588B"/>
    <w:rsid w:val="000A592D"/>
    <w:rsid w:val="000A592E"/>
    <w:rsid w:val="000A597B"/>
    <w:rsid w:val="000A59A5"/>
    <w:rsid w:val="000A59BA"/>
    <w:rsid w:val="000A5B15"/>
    <w:rsid w:val="000A5D26"/>
    <w:rsid w:val="000A5D5E"/>
    <w:rsid w:val="000A5F6E"/>
    <w:rsid w:val="000A602A"/>
    <w:rsid w:val="000A60A8"/>
    <w:rsid w:val="000A619C"/>
    <w:rsid w:val="000A638B"/>
    <w:rsid w:val="000A658C"/>
    <w:rsid w:val="000A6764"/>
    <w:rsid w:val="000A6809"/>
    <w:rsid w:val="000A6A2A"/>
    <w:rsid w:val="000A6B75"/>
    <w:rsid w:val="000A6BCC"/>
    <w:rsid w:val="000A6CC5"/>
    <w:rsid w:val="000A6E57"/>
    <w:rsid w:val="000A7099"/>
    <w:rsid w:val="000A7209"/>
    <w:rsid w:val="000A74C1"/>
    <w:rsid w:val="000A756C"/>
    <w:rsid w:val="000A757E"/>
    <w:rsid w:val="000A786C"/>
    <w:rsid w:val="000A795C"/>
    <w:rsid w:val="000A7BDC"/>
    <w:rsid w:val="000A7CA8"/>
    <w:rsid w:val="000A7D2C"/>
    <w:rsid w:val="000B0060"/>
    <w:rsid w:val="000B05AF"/>
    <w:rsid w:val="000B0612"/>
    <w:rsid w:val="000B08BE"/>
    <w:rsid w:val="000B0A5A"/>
    <w:rsid w:val="000B0B52"/>
    <w:rsid w:val="000B0E60"/>
    <w:rsid w:val="000B0EDF"/>
    <w:rsid w:val="000B0FB3"/>
    <w:rsid w:val="000B1249"/>
    <w:rsid w:val="000B12AF"/>
    <w:rsid w:val="000B13D4"/>
    <w:rsid w:val="000B1533"/>
    <w:rsid w:val="000B19E2"/>
    <w:rsid w:val="000B1A8E"/>
    <w:rsid w:val="000B1B6B"/>
    <w:rsid w:val="000B1CAD"/>
    <w:rsid w:val="000B1E3F"/>
    <w:rsid w:val="000B1FBB"/>
    <w:rsid w:val="000B22ED"/>
    <w:rsid w:val="000B242B"/>
    <w:rsid w:val="000B2803"/>
    <w:rsid w:val="000B28B1"/>
    <w:rsid w:val="000B29B6"/>
    <w:rsid w:val="000B2A28"/>
    <w:rsid w:val="000B2A93"/>
    <w:rsid w:val="000B2C89"/>
    <w:rsid w:val="000B2F0D"/>
    <w:rsid w:val="000B32ED"/>
    <w:rsid w:val="000B35E1"/>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E49"/>
    <w:rsid w:val="000B4E8C"/>
    <w:rsid w:val="000B4F78"/>
    <w:rsid w:val="000B52A1"/>
    <w:rsid w:val="000B5327"/>
    <w:rsid w:val="000B5484"/>
    <w:rsid w:val="000B585A"/>
    <w:rsid w:val="000B5963"/>
    <w:rsid w:val="000B5966"/>
    <w:rsid w:val="000B59C3"/>
    <w:rsid w:val="000B5BDD"/>
    <w:rsid w:val="000B5DFA"/>
    <w:rsid w:val="000B5EA1"/>
    <w:rsid w:val="000B606D"/>
    <w:rsid w:val="000B60A4"/>
    <w:rsid w:val="000B6191"/>
    <w:rsid w:val="000B61A6"/>
    <w:rsid w:val="000B634F"/>
    <w:rsid w:val="000B6444"/>
    <w:rsid w:val="000B65DE"/>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F29"/>
    <w:rsid w:val="000C0002"/>
    <w:rsid w:val="000C0089"/>
    <w:rsid w:val="000C00A7"/>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83"/>
    <w:rsid w:val="000C29F4"/>
    <w:rsid w:val="000C2F40"/>
    <w:rsid w:val="000C3025"/>
    <w:rsid w:val="000C31D4"/>
    <w:rsid w:val="000C3331"/>
    <w:rsid w:val="000C3351"/>
    <w:rsid w:val="000C3407"/>
    <w:rsid w:val="000C35E8"/>
    <w:rsid w:val="000C363C"/>
    <w:rsid w:val="000C374F"/>
    <w:rsid w:val="000C38AB"/>
    <w:rsid w:val="000C38FE"/>
    <w:rsid w:val="000C395D"/>
    <w:rsid w:val="000C39B1"/>
    <w:rsid w:val="000C3A28"/>
    <w:rsid w:val="000C3B65"/>
    <w:rsid w:val="000C3CEA"/>
    <w:rsid w:val="000C3D5F"/>
    <w:rsid w:val="000C3DEF"/>
    <w:rsid w:val="000C40F8"/>
    <w:rsid w:val="000C4136"/>
    <w:rsid w:val="000C474B"/>
    <w:rsid w:val="000C47A0"/>
    <w:rsid w:val="000C490A"/>
    <w:rsid w:val="000C4967"/>
    <w:rsid w:val="000C4C29"/>
    <w:rsid w:val="000C4CA9"/>
    <w:rsid w:val="000C4DC2"/>
    <w:rsid w:val="000C4FC9"/>
    <w:rsid w:val="000C4FE9"/>
    <w:rsid w:val="000C50C7"/>
    <w:rsid w:val="000C50DA"/>
    <w:rsid w:val="000C5323"/>
    <w:rsid w:val="000C5444"/>
    <w:rsid w:val="000C597C"/>
    <w:rsid w:val="000C5B1B"/>
    <w:rsid w:val="000C5BA3"/>
    <w:rsid w:val="000C5E62"/>
    <w:rsid w:val="000C63A6"/>
    <w:rsid w:val="000C6408"/>
    <w:rsid w:val="000C648B"/>
    <w:rsid w:val="000C6491"/>
    <w:rsid w:val="000C64E4"/>
    <w:rsid w:val="000C664E"/>
    <w:rsid w:val="000C6655"/>
    <w:rsid w:val="000C66C4"/>
    <w:rsid w:val="000C67FA"/>
    <w:rsid w:val="000C6A7E"/>
    <w:rsid w:val="000C6AEA"/>
    <w:rsid w:val="000C6AEF"/>
    <w:rsid w:val="000C6C0B"/>
    <w:rsid w:val="000C6C1C"/>
    <w:rsid w:val="000C6C32"/>
    <w:rsid w:val="000C6D10"/>
    <w:rsid w:val="000C6E4F"/>
    <w:rsid w:val="000C6F10"/>
    <w:rsid w:val="000C6F33"/>
    <w:rsid w:val="000C7277"/>
    <w:rsid w:val="000C728B"/>
    <w:rsid w:val="000C7292"/>
    <w:rsid w:val="000C74AC"/>
    <w:rsid w:val="000C762B"/>
    <w:rsid w:val="000C7635"/>
    <w:rsid w:val="000C7777"/>
    <w:rsid w:val="000C7807"/>
    <w:rsid w:val="000C7A10"/>
    <w:rsid w:val="000C7B61"/>
    <w:rsid w:val="000C7D27"/>
    <w:rsid w:val="000C7FA9"/>
    <w:rsid w:val="000D008E"/>
    <w:rsid w:val="000D00BA"/>
    <w:rsid w:val="000D01FA"/>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FA"/>
    <w:rsid w:val="000D2147"/>
    <w:rsid w:val="000D25A2"/>
    <w:rsid w:val="000D278C"/>
    <w:rsid w:val="000D27EB"/>
    <w:rsid w:val="000D2871"/>
    <w:rsid w:val="000D2933"/>
    <w:rsid w:val="000D298F"/>
    <w:rsid w:val="000D2A97"/>
    <w:rsid w:val="000D2B2D"/>
    <w:rsid w:val="000D2B32"/>
    <w:rsid w:val="000D2BEC"/>
    <w:rsid w:val="000D2D1A"/>
    <w:rsid w:val="000D2D82"/>
    <w:rsid w:val="000D3283"/>
    <w:rsid w:val="000D33CD"/>
    <w:rsid w:val="000D352B"/>
    <w:rsid w:val="000D3573"/>
    <w:rsid w:val="000D35E5"/>
    <w:rsid w:val="000D362B"/>
    <w:rsid w:val="000D38C6"/>
    <w:rsid w:val="000D3A79"/>
    <w:rsid w:val="000D3AF3"/>
    <w:rsid w:val="000D40E3"/>
    <w:rsid w:val="000D420B"/>
    <w:rsid w:val="000D4581"/>
    <w:rsid w:val="000D4787"/>
    <w:rsid w:val="000D4945"/>
    <w:rsid w:val="000D4A3B"/>
    <w:rsid w:val="000D4C0B"/>
    <w:rsid w:val="000D4C4F"/>
    <w:rsid w:val="000D4FBA"/>
    <w:rsid w:val="000D50B5"/>
    <w:rsid w:val="000D525A"/>
    <w:rsid w:val="000D533F"/>
    <w:rsid w:val="000D537C"/>
    <w:rsid w:val="000D56CC"/>
    <w:rsid w:val="000D589D"/>
    <w:rsid w:val="000D5931"/>
    <w:rsid w:val="000D59AF"/>
    <w:rsid w:val="000D5B17"/>
    <w:rsid w:val="000D5BD1"/>
    <w:rsid w:val="000D5DB3"/>
    <w:rsid w:val="000D5F96"/>
    <w:rsid w:val="000D6256"/>
    <w:rsid w:val="000D6521"/>
    <w:rsid w:val="000D664F"/>
    <w:rsid w:val="000D6930"/>
    <w:rsid w:val="000D695B"/>
    <w:rsid w:val="000D6D5F"/>
    <w:rsid w:val="000D6D7B"/>
    <w:rsid w:val="000D6E37"/>
    <w:rsid w:val="000D6F73"/>
    <w:rsid w:val="000D724D"/>
    <w:rsid w:val="000D72AE"/>
    <w:rsid w:val="000D74A5"/>
    <w:rsid w:val="000D7595"/>
    <w:rsid w:val="000D7AA4"/>
    <w:rsid w:val="000D7B91"/>
    <w:rsid w:val="000D7C14"/>
    <w:rsid w:val="000D7E9E"/>
    <w:rsid w:val="000D7EF4"/>
    <w:rsid w:val="000D7F0C"/>
    <w:rsid w:val="000D7F5E"/>
    <w:rsid w:val="000E00CC"/>
    <w:rsid w:val="000E02B5"/>
    <w:rsid w:val="000E05FE"/>
    <w:rsid w:val="000E09E1"/>
    <w:rsid w:val="000E0C09"/>
    <w:rsid w:val="000E0FD1"/>
    <w:rsid w:val="000E110C"/>
    <w:rsid w:val="000E1187"/>
    <w:rsid w:val="000E11B4"/>
    <w:rsid w:val="000E1360"/>
    <w:rsid w:val="000E13C1"/>
    <w:rsid w:val="000E1436"/>
    <w:rsid w:val="000E15B2"/>
    <w:rsid w:val="000E1642"/>
    <w:rsid w:val="000E173C"/>
    <w:rsid w:val="000E175B"/>
    <w:rsid w:val="000E1896"/>
    <w:rsid w:val="000E1995"/>
    <w:rsid w:val="000E1B2F"/>
    <w:rsid w:val="000E1BEA"/>
    <w:rsid w:val="000E22FB"/>
    <w:rsid w:val="000E23A8"/>
    <w:rsid w:val="000E2823"/>
    <w:rsid w:val="000E29DB"/>
    <w:rsid w:val="000E2D12"/>
    <w:rsid w:val="000E2D22"/>
    <w:rsid w:val="000E2DBD"/>
    <w:rsid w:val="000E2DD5"/>
    <w:rsid w:val="000E2F52"/>
    <w:rsid w:val="000E3077"/>
    <w:rsid w:val="000E31F9"/>
    <w:rsid w:val="000E35C9"/>
    <w:rsid w:val="000E36DA"/>
    <w:rsid w:val="000E39B6"/>
    <w:rsid w:val="000E3C24"/>
    <w:rsid w:val="000E3C68"/>
    <w:rsid w:val="000E3C76"/>
    <w:rsid w:val="000E3D57"/>
    <w:rsid w:val="000E3D82"/>
    <w:rsid w:val="000E3F11"/>
    <w:rsid w:val="000E40AD"/>
    <w:rsid w:val="000E4194"/>
    <w:rsid w:val="000E4199"/>
    <w:rsid w:val="000E41F3"/>
    <w:rsid w:val="000E4511"/>
    <w:rsid w:val="000E45C4"/>
    <w:rsid w:val="000E4731"/>
    <w:rsid w:val="000E478D"/>
    <w:rsid w:val="000E4A4A"/>
    <w:rsid w:val="000E4A7B"/>
    <w:rsid w:val="000E4B13"/>
    <w:rsid w:val="000E4BAB"/>
    <w:rsid w:val="000E4BAC"/>
    <w:rsid w:val="000E4BFE"/>
    <w:rsid w:val="000E4E3F"/>
    <w:rsid w:val="000E4F1B"/>
    <w:rsid w:val="000E4FC6"/>
    <w:rsid w:val="000E5094"/>
    <w:rsid w:val="000E5230"/>
    <w:rsid w:val="000E53BE"/>
    <w:rsid w:val="000E548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7190"/>
    <w:rsid w:val="000E71E0"/>
    <w:rsid w:val="000E7540"/>
    <w:rsid w:val="000E77EA"/>
    <w:rsid w:val="000E785B"/>
    <w:rsid w:val="000E7895"/>
    <w:rsid w:val="000E7945"/>
    <w:rsid w:val="000E7B11"/>
    <w:rsid w:val="000E7B80"/>
    <w:rsid w:val="000E7C2C"/>
    <w:rsid w:val="000E7E32"/>
    <w:rsid w:val="000F0106"/>
    <w:rsid w:val="000F0386"/>
    <w:rsid w:val="000F0649"/>
    <w:rsid w:val="000F075C"/>
    <w:rsid w:val="000F07AE"/>
    <w:rsid w:val="000F0803"/>
    <w:rsid w:val="000F0B15"/>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DC8"/>
    <w:rsid w:val="000F1F3D"/>
    <w:rsid w:val="000F1F5C"/>
    <w:rsid w:val="000F20A1"/>
    <w:rsid w:val="000F20F5"/>
    <w:rsid w:val="000F2442"/>
    <w:rsid w:val="000F25F7"/>
    <w:rsid w:val="000F2637"/>
    <w:rsid w:val="000F26DE"/>
    <w:rsid w:val="000F271C"/>
    <w:rsid w:val="000F28D1"/>
    <w:rsid w:val="000F2A13"/>
    <w:rsid w:val="000F2A8F"/>
    <w:rsid w:val="000F2D3B"/>
    <w:rsid w:val="000F2FA5"/>
    <w:rsid w:val="000F30B6"/>
    <w:rsid w:val="000F30C6"/>
    <w:rsid w:val="000F33A1"/>
    <w:rsid w:val="000F3917"/>
    <w:rsid w:val="000F39BD"/>
    <w:rsid w:val="000F3AA5"/>
    <w:rsid w:val="000F3B0C"/>
    <w:rsid w:val="000F3B95"/>
    <w:rsid w:val="000F3DDD"/>
    <w:rsid w:val="000F3E33"/>
    <w:rsid w:val="000F403A"/>
    <w:rsid w:val="000F4054"/>
    <w:rsid w:val="000F4072"/>
    <w:rsid w:val="000F428F"/>
    <w:rsid w:val="000F430C"/>
    <w:rsid w:val="000F4597"/>
    <w:rsid w:val="000F4644"/>
    <w:rsid w:val="000F49BA"/>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AF"/>
    <w:rsid w:val="000F6B45"/>
    <w:rsid w:val="000F6CAC"/>
    <w:rsid w:val="000F6FA3"/>
    <w:rsid w:val="000F6FA6"/>
    <w:rsid w:val="000F712F"/>
    <w:rsid w:val="000F7434"/>
    <w:rsid w:val="000F74C6"/>
    <w:rsid w:val="000F75BF"/>
    <w:rsid w:val="000F7964"/>
    <w:rsid w:val="000F7A40"/>
    <w:rsid w:val="001001BB"/>
    <w:rsid w:val="001001E3"/>
    <w:rsid w:val="001001ED"/>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57"/>
    <w:rsid w:val="001039B0"/>
    <w:rsid w:val="00103A85"/>
    <w:rsid w:val="00103BCA"/>
    <w:rsid w:val="00103D41"/>
    <w:rsid w:val="0010412B"/>
    <w:rsid w:val="001042C3"/>
    <w:rsid w:val="001042F8"/>
    <w:rsid w:val="00104738"/>
    <w:rsid w:val="0010478A"/>
    <w:rsid w:val="00104896"/>
    <w:rsid w:val="001048C7"/>
    <w:rsid w:val="001049B5"/>
    <w:rsid w:val="00104C75"/>
    <w:rsid w:val="00104CBB"/>
    <w:rsid w:val="00104ED0"/>
    <w:rsid w:val="00104EEE"/>
    <w:rsid w:val="00104F2E"/>
    <w:rsid w:val="00104FE3"/>
    <w:rsid w:val="00105092"/>
    <w:rsid w:val="0010512A"/>
    <w:rsid w:val="00105180"/>
    <w:rsid w:val="001052C6"/>
    <w:rsid w:val="001052ED"/>
    <w:rsid w:val="00105327"/>
    <w:rsid w:val="0010532E"/>
    <w:rsid w:val="001053E8"/>
    <w:rsid w:val="00105674"/>
    <w:rsid w:val="0010587B"/>
    <w:rsid w:val="001058F6"/>
    <w:rsid w:val="00105A8B"/>
    <w:rsid w:val="00105B39"/>
    <w:rsid w:val="00105D7F"/>
    <w:rsid w:val="00106029"/>
    <w:rsid w:val="00106337"/>
    <w:rsid w:val="0010645B"/>
    <w:rsid w:val="001065A0"/>
    <w:rsid w:val="001067B5"/>
    <w:rsid w:val="00106A17"/>
    <w:rsid w:val="00106A92"/>
    <w:rsid w:val="00106D7D"/>
    <w:rsid w:val="001070F8"/>
    <w:rsid w:val="0010724D"/>
    <w:rsid w:val="001073C4"/>
    <w:rsid w:val="0010745F"/>
    <w:rsid w:val="00107720"/>
    <w:rsid w:val="00107802"/>
    <w:rsid w:val="001079C3"/>
    <w:rsid w:val="00107AEE"/>
    <w:rsid w:val="00107C6C"/>
    <w:rsid w:val="00107C72"/>
    <w:rsid w:val="00107D0A"/>
    <w:rsid w:val="00107DB9"/>
    <w:rsid w:val="001100E9"/>
    <w:rsid w:val="0011025C"/>
    <w:rsid w:val="00110467"/>
    <w:rsid w:val="00110735"/>
    <w:rsid w:val="0011086C"/>
    <w:rsid w:val="00110B55"/>
    <w:rsid w:val="00110BA2"/>
    <w:rsid w:val="00110D1E"/>
    <w:rsid w:val="00110F36"/>
    <w:rsid w:val="001112A1"/>
    <w:rsid w:val="00111352"/>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731"/>
    <w:rsid w:val="001138E2"/>
    <w:rsid w:val="00113972"/>
    <w:rsid w:val="00113A05"/>
    <w:rsid w:val="00113A64"/>
    <w:rsid w:val="00113BF1"/>
    <w:rsid w:val="00113BF8"/>
    <w:rsid w:val="00113BFF"/>
    <w:rsid w:val="00113C7B"/>
    <w:rsid w:val="00113C9E"/>
    <w:rsid w:val="00114041"/>
    <w:rsid w:val="001141AA"/>
    <w:rsid w:val="001143DE"/>
    <w:rsid w:val="00114552"/>
    <w:rsid w:val="0011455B"/>
    <w:rsid w:val="00114663"/>
    <w:rsid w:val="00114847"/>
    <w:rsid w:val="0011484D"/>
    <w:rsid w:val="00114878"/>
    <w:rsid w:val="00114DAA"/>
    <w:rsid w:val="00115165"/>
    <w:rsid w:val="001152A7"/>
    <w:rsid w:val="001152E9"/>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B2"/>
    <w:rsid w:val="00116BDB"/>
    <w:rsid w:val="00116C02"/>
    <w:rsid w:val="00116C0E"/>
    <w:rsid w:val="00116F3F"/>
    <w:rsid w:val="0011717A"/>
    <w:rsid w:val="001171F0"/>
    <w:rsid w:val="00117252"/>
    <w:rsid w:val="00117450"/>
    <w:rsid w:val="00117947"/>
    <w:rsid w:val="00117BA4"/>
    <w:rsid w:val="00117E2F"/>
    <w:rsid w:val="00117E76"/>
    <w:rsid w:val="00117ED8"/>
    <w:rsid w:val="001201E8"/>
    <w:rsid w:val="0012027F"/>
    <w:rsid w:val="00120399"/>
    <w:rsid w:val="001206B2"/>
    <w:rsid w:val="00120768"/>
    <w:rsid w:val="00120997"/>
    <w:rsid w:val="00120C68"/>
    <w:rsid w:val="00120CC1"/>
    <w:rsid w:val="00120EBF"/>
    <w:rsid w:val="00120EC1"/>
    <w:rsid w:val="00120F63"/>
    <w:rsid w:val="0012116A"/>
    <w:rsid w:val="0012120B"/>
    <w:rsid w:val="001213A4"/>
    <w:rsid w:val="0012143D"/>
    <w:rsid w:val="001219E1"/>
    <w:rsid w:val="00121AAB"/>
    <w:rsid w:val="00121B64"/>
    <w:rsid w:val="00121BAB"/>
    <w:rsid w:val="00121DB1"/>
    <w:rsid w:val="00121EDF"/>
    <w:rsid w:val="00121FB3"/>
    <w:rsid w:val="001221A7"/>
    <w:rsid w:val="00122592"/>
    <w:rsid w:val="001227B5"/>
    <w:rsid w:val="001229D6"/>
    <w:rsid w:val="00122C0D"/>
    <w:rsid w:val="00122C2C"/>
    <w:rsid w:val="00122D05"/>
    <w:rsid w:val="00122D8F"/>
    <w:rsid w:val="0012301F"/>
    <w:rsid w:val="00123054"/>
    <w:rsid w:val="0012332E"/>
    <w:rsid w:val="0012351C"/>
    <w:rsid w:val="001235FF"/>
    <w:rsid w:val="00123895"/>
    <w:rsid w:val="00123B1F"/>
    <w:rsid w:val="00123F31"/>
    <w:rsid w:val="00124237"/>
    <w:rsid w:val="00124443"/>
    <w:rsid w:val="00124625"/>
    <w:rsid w:val="001249C0"/>
    <w:rsid w:val="00124BB1"/>
    <w:rsid w:val="00124D91"/>
    <w:rsid w:val="00124FA8"/>
    <w:rsid w:val="00125161"/>
    <w:rsid w:val="0012529F"/>
    <w:rsid w:val="001252B2"/>
    <w:rsid w:val="001256E0"/>
    <w:rsid w:val="0012578A"/>
    <w:rsid w:val="00125865"/>
    <w:rsid w:val="00125BBF"/>
    <w:rsid w:val="00125F0F"/>
    <w:rsid w:val="00125F5F"/>
    <w:rsid w:val="001262C2"/>
    <w:rsid w:val="0012630B"/>
    <w:rsid w:val="00126333"/>
    <w:rsid w:val="00126478"/>
    <w:rsid w:val="001264DD"/>
    <w:rsid w:val="00126577"/>
    <w:rsid w:val="001265B2"/>
    <w:rsid w:val="001267DB"/>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F3C"/>
    <w:rsid w:val="00127F8D"/>
    <w:rsid w:val="00127FD0"/>
    <w:rsid w:val="00130164"/>
    <w:rsid w:val="001305A3"/>
    <w:rsid w:val="00130867"/>
    <w:rsid w:val="00130A7D"/>
    <w:rsid w:val="00130AFB"/>
    <w:rsid w:val="00130DA1"/>
    <w:rsid w:val="00130E21"/>
    <w:rsid w:val="00131136"/>
    <w:rsid w:val="0013115F"/>
    <w:rsid w:val="0013122D"/>
    <w:rsid w:val="001312B1"/>
    <w:rsid w:val="001313D0"/>
    <w:rsid w:val="001314BD"/>
    <w:rsid w:val="001317E3"/>
    <w:rsid w:val="001317E7"/>
    <w:rsid w:val="00132241"/>
    <w:rsid w:val="001322B6"/>
    <w:rsid w:val="00132591"/>
    <w:rsid w:val="001327FB"/>
    <w:rsid w:val="0013296D"/>
    <w:rsid w:val="001329AD"/>
    <w:rsid w:val="00132DF3"/>
    <w:rsid w:val="0013312D"/>
    <w:rsid w:val="001331A2"/>
    <w:rsid w:val="00133299"/>
    <w:rsid w:val="00133775"/>
    <w:rsid w:val="001337BD"/>
    <w:rsid w:val="00133806"/>
    <w:rsid w:val="001338E9"/>
    <w:rsid w:val="00133B6D"/>
    <w:rsid w:val="00133E1F"/>
    <w:rsid w:val="0013449A"/>
    <w:rsid w:val="0013488C"/>
    <w:rsid w:val="00134BC9"/>
    <w:rsid w:val="00134BDF"/>
    <w:rsid w:val="00134E05"/>
    <w:rsid w:val="00135089"/>
    <w:rsid w:val="0013519E"/>
    <w:rsid w:val="001351B0"/>
    <w:rsid w:val="001353E6"/>
    <w:rsid w:val="0013548E"/>
    <w:rsid w:val="00135580"/>
    <w:rsid w:val="00135AA3"/>
    <w:rsid w:val="00135EF4"/>
    <w:rsid w:val="00135FAD"/>
    <w:rsid w:val="00136079"/>
    <w:rsid w:val="00136108"/>
    <w:rsid w:val="00136115"/>
    <w:rsid w:val="001361BB"/>
    <w:rsid w:val="00136354"/>
    <w:rsid w:val="001365EC"/>
    <w:rsid w:val="001367A5"/>
    <w:rsid w:val="00136870"/>
    <w:rsid w:val="00136A16"/>
    <w:rsid w:val="00136A62"/>
    <w:rsid w:val="00136BAE"/>
    <w:rsid w:val="00136BC9"/>
    <w:rsid w:val="00136D92"/>
    <w:rsid w:val="00136FAA"/>
    <w:rsid w:val="00137128"/>
    <w:rsid w:val="0013733A"/>
    <w:rsid w:val="00137386"/>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37F9C"/>
    <w:rsid w:val="0014000E"/>
    <w:rsid w:val="001400AB"/>
    <w:rsid w:val="001401B3"/>
    <w:rsid w:val="001403DF"/>
    <w:rsid w:val="0014049A"/>
    <w:rsid w:val="0014084E"/>
    <w:rsid w:val="00140AEA"/>
    <w:rsid w:val="00140B5F"/>
    <w:rsid w:val="00140CD8"/>
    <w:rsid w:val="00140EA2"/>
    <w:rsid w:val="001410B7"/>
    <w:rsid w:val="001410E6"/>
    <w:rsid w:val="001413F4"/>
    <w:rsid w:val="00141727"/>
    <w:rsid w:val="00141914"/>
    <w:rsid w:val="0014191A"/>
    <w:rsid w:val="00141A7C"/>
    <w:rsid w:val="00141B55"/>
    <w:rsid w:val="00141C9F"/>
    <w:rsid w:val="00141D5A"/>
    <w:rsid w:val="00141DDA"/>
    <w:rsid w:val="00141FF2"/>
    <w:rsid w:val="00141FFD"/>
    <w:rsid w:val="00142050"/>
    <w:rsid w:val="00142067"/>
    <w:rsid w:val="00142073"/>
    <w:rsid w:val="0014233D"/>
    <w:rsid w:val="001423A2"/>
    <w:rsid w:val="001424AA"/>
    <w:rsid w:val="0014252F"/>
    <w:rsid w:val="0014267A"/>
    <w:rsid w:val="001427A9"/>
    <w:rsid w:val="001428C0"/>
    <w:rsid w:val="0014293E"/>
    <w:rsid w:val="00142B74"/>
    <w:rsid w:val="00142BD8"/>
    <w:rsid w:val="00142C9C"/>
    <w:rsid w:val="00142F6C"/>
    <w:rsid w:val="00143205"/>
    <w:rsid w:val="001432B5"/>
    <w:rsid w:val="001432C5"/>
    <w:rsid w:val="00143509"/>
    <w:rsid w:val="00143582"/>
    <w:rsid w:val="0014359E"/>
    <w:rsid w:val="001436AB"/>
    <w:rsid w:val="00143737"/>
    <w:rsid w:val="00143769"/>
    <w:rsid w:val="0014378C"/>
    <w:rsid w:val="001439B6"/>
    <w:rsid w:val="00143E3D"/>
    <w:rsid w:val="00143EA9"/>
    <w:rsid w:val="00143ED0"/>
    <w:rsid w:val="00143F0B"/>
    <w:rsid w:val="001440CA"/>
    <w:rsid w:val="00144111"/>
    <w:rsid w:val="0014418A"/>
    <w:rsid w:val="001445FD"/>
    <w:rsid w:val="00144BCF"/>
    <w:rsid w:val="00144E10"/>
    <w:rsid w:val="0014530D"/>
    <w:rsid w:val="001456B5"/>
    <w:rsid w:val="0014585A"/>
    <w:rsid w:val="0014597A"/>
    <w:rsid w:val="00145986"/>
    <w:rsid w:val="001459D9"/>
    <w:rsid w:val="00145BC3"/>
    <w:rsid w:val="00145CBF"/>
    <w:rsid w:val="00145F35"/>
    <w:rsid w:val="00146156"/>
    <w:rsid w:val="001461E9"/>
    <w:rsid w:val="001463E5"/>
    <w:rsid w:val="00146574"/>
    <w:rsid w:val="0014659B"/>
    <w:rsid w:val="00146D77"/>
    <w:rsid w:val="00146EA6"/>
    <w:rsid w:val="00146F6B"/>
    <w:rsid w:val="001470CC"/>
    <w:rsid w:val="00147105"/>
    <w:rsid w:val="00147150"/>
    <w:rsid w:val="0014742F"/>
    <w:rsid w:val="0014772E"/>
    <w:rsid w:val="0014778B"/>
    <w:rsid w:val="001478E9"/>
    <w:rsid w:val="00147A4F"/>
    <w:rsid w:val="00147C60"/>
    <w:rsid w:val="00147E3B"/>
    <w:rsid w:val="00147ECB"/>
    <w:rsid w:val="00147F2E"/>
    <w:rsid w:val="001500F8"/>
    <w:rsid w:val="001502F3"/>
    <w:rsid w:val="001503A6"/>
    <w:rsid w:val="001508B3"/>
    <w:rsid w:val="001508FD"/>
    <w:rsid w:val="0015091C"/>
    <w:rsid w:val="0015118F"/>
    <w:rsid w:val="001511F0"/>
    <w:rsid w:val="00151300"/>
    <w:rsid w:val="001513C4"/>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41BD"/>
    <w:rsid w:val="001543E5"/>
    <w:rsid w:val="00154409"/>
    <w:rsid w:val="001544DC"/>
    <w:rsid w:val="001549EC"/>
    <w:rsid w:val="00154BFB"/>
    <w:rsid w:val="00154C0D"/>
    <w:rsid w:val="00154D75"/>
    <w:rsid w:val="00154DA3"/>
    <w:rsid w:val="001550A1"/>
    <w:rsid w:val="00155101"/>
    <w:rsid w:val="001551CC"/>
    <w:rsid w:val="00155618"/>
    <w:rsid w:val="001558BB"/>
    <w:rsid w:val="0015595C"/>
    <w:rsid w:val="00155A8F"/>
    <w:rsid w:val="00155DBB"/>
    <w:rsid w:val="001562CD"/>
    <w:rsid w:val="00156313"/>
    <w:rsid w:val="00156333"/>
    <w:rsid w:val="00156670"/>
    <w:rsid w:val="00156820"/>
    <w:rsid w:val="0015697F"/>
    <w:rsid w:val="00156B34"/>
    <w:rsid w:val="00156F1A"/>
    <w:rsid w:val="0015748F"/>
    <w:rsid w:val="001575F5"/>
    <w:rsid w:val="00157634"/>
    <w:rsid w:val="001577D0"/>
    <w:rsid w:val="00157878"/>
    <w:rsid w:val="00157908"/>
    <w:rsid w:val="0015791B"/>
    <w:rsid w:val="00157C74"/>
    <w:rsid w:val="00157F4C"/>
    <w:rsid w:val="00160069"/>
    <w:rsid w:val="00160335"/>
    <w:rsid w:val="0016033E"/>
    <w:rsid w:val="001603AB"/>
    <w:rsid w:val="001605CD"/>
    <w:rsid w:val="00160633"/>
    <w:rsid w:val="00160749"/>
    <w:rsid w:val="0016083D"/>
    <w:rsid w:val="0016091E"/>
    <w:rsid w:val="00160B09"/>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ADE"/>
    <w:rsid w:val="00162B97"/>
    <w:rsid w:val="00162D87"/>
    <w:rsid w:val="00162E2B"/>
    <w:rsid w:val="00163005"/>
    <w:rsid w:val="001630DE"/>
    <w:rsid w:val="001632DA"/>
    <w:rsid w:val="00163369"/>
    <w:rsid w:val="0016345A"/>
    <w:rsid w:val="001634B4"/>
    <w:rsid w:val="0016352D"/>
    <w:rsid w:val="00163553"/>
    <w:rsid w:val="0016356C"/>
    <w:rsid w:val="0016397E"/>
    <w:rsid w:val="00163C4E"/>
    <w:rsid w:val="00163F69"/>
    <w:rsid w:val="00163FE5"/>
    <w:rsid w:val="00164361"/>
    <w:rsid w:val="00164532"/>
    <w:rsid w:val="00164648"/>
    <w:rsid w:val="001646FA"/>
    <w:rsid w:val="0016477F"/>
    <w:rsid w:val="001647C3"/>
    <w:rsid w:val="00164842"/>
    <w:rsid w:val="001648C6"/>
    <w:rsid w:val="001648CA"/>
    <w:rsid w:val="00164B6C"/>
    <w:rsid w:val="00164BB8"/>
    <w:rsid w:val="00164FCC"/>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166"/>
    <w:rsid w:val="001661B4"/>
    <w:rsid w:val="001661D6"/>
    <w:rsid w:val="00166219"/>
    <w:rsid w:val="0016625C"/>
    <w:rsid w:val="001663E4"/>
    <w:rsid w:val="00166512"/>
    <w:rsid w:val="00166891"/>
    <w:rsid w:val="00166BE2"/>
    <w:rsid w:val="00166C7B"/>
    <w:rsid w:val="00166E96"/>
    <w:rsid w:val="0016705D"/>
    <w:rsid w:val="0016719D"/>
    <w:rsid w:val="0016738C"/>
    <w:rsid w:val="001676F9"/>
    <w:rsid w:val="0016775C"/>
    <w:rsid w:val="0016799A"/>
    <w:rsid w:val="00167B7C"/>
    <w:rsid w:val="00167C58"/>
    <w:rsid w:val="00167D09"/>
    <w:rsid w:val="00167EE9"/>
    <w:rsid w:val="00170328"/>
    <w:rsid w:val="00170399"/>
    <w:rsid w:val="001703DB"/>
    <w:rsid w:val="00170450"/>
    <w:rsid w:val="0017051D"/>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1F0"/>
    <w:rsid w:val="00172466"/>
    <w:rsid w:val="001726F7"/>
    <w:rsid w:val="00172B2E"/>
    <w:rsid w:val="00172D99"/>
    <w:rsid w:val="00172DEA"/>
    <w:rsid w:val="00172E5B"/>
    <w:rsid w:val="00172E66"/>
    <w:rsid w:val="00172EA4"/>
    <w:rsid w:val="00173084"/>
    <w:rsid w:val="00173126"/>
    <w:rsid w:val="001733AA"/>
    <w:rsid w:val="0017340A"/>
    <w:rsid w:val="001736D4"/>
    <w:rsid w:val="00173AF4"/>
    <w:rsid w:val="00173E54"/>
    <w:rsid w:val="00173F69"/>
    <w:rsid w:val="00174011"/>
    <w:rsid w:val="0017415E"/>
    <w:rsid w:val="0017421B"/>
    <w:rsid w:val="00174557"/>
    <w:rsid w:val="0017461F"/>
    <w:rsid w:val="00174E97"/>
    <w:rsid w:val="00174FF0"/>
    <w:rsid w:val="00175215"/>
    <w:rsid w:val="001753F8"/>
    <w:rsid w:val="0017540E"/>
    <w:rsid w:val="001754BE"/>
    <w:rsid w:val="00175634"/>
    <w:rsid w:val="00175919"/>
    <w:rsid w:val="00175CCC"/>
    <w:rsid w:val="00175EB5"/>
    <w:rsid w:val="00175ECA"/>
    <w:rsid w:val="00176162"/>
    <w:rsid w:val="00176165"/>
    <w:rsid w:val="00176188"/>
    <w:rsid w:val="001761EA"/>
    <w:rsid w:val="001762C6"/>
    <w:rsid w:val="001762DE"/>
    <w:rsid w:val="00176370"/>
    <w:rsid w:val="001763B4"/>
    <w:rsid w:val="00176596"/>
    <w:rsid w:val="001765CB"/>
    <w:rsid w:val="00176614"/>
    <w:rsid w:val="001766BE"/>
    <w:rsid w:val="001769F1"/>
    <w:rsid w:val="00176B88"/>
    <w:rsid w:val="00176BBB"/>
    <w:rsid w:val="00176D3D"/>
    <w:rsid w:val="00176EB4"/>
    <w:rsid w:val="00176FC6"/>
    <w:rsid w:val="001771B3"/>
    <w:rsid w:val="00177679"/>
    <w:rsid w:val="0017767E"/>
    <w:rsid w:val="00177857"/>
    <w:rsid w:val="00177D21"/>
    <w:rsid w:val="00177F36"/>
    <w:rsid w:val="00177F5F"/>
    <w:rsid w:val="00180098"/>
    <w:rsid w:val="00180293"/>
    <w:rsid w:val="00180393"/>
    <w:rsid w:val="00180459"/>
    <w:rsid w:val="0018047D"/>
    <w:rsid w:val="0018068B"/>
    <w:rsid w:val="001808F9"/>
    <w:rsid w:val="0018094E"/>
    <w:rsid w:val="00180ACB"/>
    <w:rsid w:val="00180BE1"/>
    <w:rsid w:val="00180D3F"/>
    <w:rsid w:val="00180DEB"/>
    <w:rsid w:val="00180E08"/>
    <w:rsid w:val="00180EFF"/>
    <w:rsid w:val="0018102C"/>
    <w:rsid w:val="00181390"/>
    <w:rsid w:val="00181732"/>
    <w:rsid w:val="00181AD7"/>
    <w:rsid w:val="00181D14"/>
    <w:rsid w:val="00181D31"/>
    <w:rsid w:val="0018223B"/>
    <w:rsid w:val="00182281"/>
    <w:rsid w:val="001823BF"/>
    <w:rsid w:val="0018241A"/>
    <w:rsid w:val="0018255F"/>
    <w:rsid w:val="00182793"/>
    <w:rsid w:val="001828BC"/>
    <w:rsid w:val="001828F5"/>
    <w:rsid w:val="00182A01"/>
    <w:rsid w:val="00182AA0"/>
    <w:rsid w:val="00182ACC"/>
    <w:rsid w:val="00182CBD"/>
    <w:rsid w:val="00182E4C"/>
    <w:rsid w:val="00182EDD"/>
    <w:rsid w:val="00182F5E"/>
    <w:rsid w:val="00182F81"/>
    <w:rsid w:val="00183065"/>
    <w:rsid w:val="0018307A"/>
    <w:rsid w:val="001830F4"/>
    <w:rsid w:val="001832C1"/>
    <w:rsid w:val="001832DD"/>
    <w:rsid w:val="0018337B"/>
    <w:rsid w:val="001835D4"/>
    <w:rsid w:val="0018361B"/>
    <w:rsid w:val="00183622"/>
    <w:rsid w:val="0018375C"/>
    <w:rsid w:val="0018394D"/>
    <w:rsid w:val="00183ADA"/>
    <w:rsid w:val="00183BF5"/>
    <w:rsid w:val="00183F87"/>
    <w:rsid w:val="0018420E"/>
    <w:rsid w:val="001842A4"/>
    <w:rsid w:val="00184824"/>
    <w:rsid w:val="00184A35"/>
    <w:rsid w:val="00184AC4"/>
    <w:rsid w:val="00184AF9"/>
    <w:rsid w:val="00184CB9"/>
    <w:rsid w:val="00184E1D"/>
    <w:rsid w:val="00184EC2"/>
    <w:rsid w:val="00184FC2"/>
    <w:rsid w:val="00185071"/>
    <w:rsid w:val="001855F3"/>
    <w:rsid w:val="0018561B"/>
    <w:rsid w:val="00185959"/>
    <w:rsid w:val="00185BE0"/>
    <w:rsid w:val="00185C21"/>
    <w:rsid w:val="00185D49"/>
    <w:rsid w:val="0018600B"/>
    <w:rsid w:val="001861BE"/>
    <w:rsid w:val="00186423"/>
    <w:rsid w:val="00186450"/>
    <w:rsid w:val="00186538"/>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6A3"/>
    <w:rsid w:val="00191795"/>
    <w:rsid w:val="00191867"/>
    <w:rsid w:val="0019193A"/>
    <w:rsid w:val="00191E28"/>
    <w:rsid w:val="00191EE6"/>
    <w:rsid w:val="00192362"/>
    <w:rsid w:val="001923A1"/>
    <w:rsid w:val="001924A1"/>
    <w:rsid w:val="00192531"/>
    <w:rsid w:val="001928D7"/>
    <w:rsid w:val="00192A60"/>
    <w:rsid w:val="00192B96"/>
    <w:rsid w:val="00192C0A"/>
    <w:rsid w:val="00192FB5"/>
    <w:rsid w:val="00193321"/>
    <w:rsid w:val="00193685"/>
    <w:rsid w:val="00193706"/>
    <w:rsid w:val="00193AA0"/>
    <w:rsid w:val="00193E3D"/>
    <w:rsid w:val="00193E88"/>
    <w:rsid w:val="00194144"/>
    <w:rsid w:val="001943FA"/>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58"/>
    <w:rsid w:val="0019538C"/>
    <w:rsid w:val="001953AF"/>
    <w:rsid w:val="0019544B"/>
    <w:rsid w:val="00195585"/>
    <w:rsid w:val="001958D4"/>
    <w:rsid w:val="001959A1"/>
    <w:rsid w:val="00195C71"/>
    <w:rsid w:val="00195DDF"/>
    <w:rsid w:val="001960D2"/>
    <w:rsid w:val="001969C1"/>
    <w:rsid w:val="00196A55"/>
    <w:rsid w:val="00196B6E"/>
    <w:rsid w:val="00196C22"/>
    <w:rsid w:val="00196C66"/>
    <w:rsid w:val="00196DB4"/>
    <w:rsid w:val="00196EDB"/>
    <w:rsid w:val="00196F87"/>
    <w:rsid w:val="001970FC"/>
    <w:rsid w:val="001971D9"/>
    <w:rsid w:val="001972A5"/>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986"/>
    <w:rsid w:val="001A0B5D"/>
    <w:rsid w:val="001A0C3E"/>
    <w:rsid w:val="001A0C58"/>
    <w:rsid w:val="001A0CDC"/>
    <w:rsid w:val="001A0E84"/>
    <w:rsid w:val="001A110D"/>
    <w:rsid w:val="001A115E"/>
    <w:rsid w:val="001A1205"/>
    <w:rsid w:val="001A1313"/>
    <w:rsid w:val="001A144A"/>
    <w:rsid w:val="001A149F"/>
    <w:rsid w:val="001A16ED"/>
    <w:rsid w:val="001A17A1"/>
    <w:rsid w:val="001A17B4"/>
    <w:rsid w:val="001A191F"/>
    <w:rsid w:val="001A19C4"/>
    <w:rsid w:val="001A1BFE"/>
    <w:rsid w:val="001A1D68"/>
    <w:rsid w:val="001A1D94"/>
    <w:rsid w:val="001A1E10"/>
    <w:rsid w:val="001A215E"/>
    <w:rsid w:val="001A2657"/>
    <w:rsid w:val="001A270E"/>
    <w:rsid w:val="001A2863"/>
    <w:rsid w:val="001A2918"/>
    <w:rsid w:val="001A2955"/>
    <w:rsid w:val="001A2C79"/>
    <w:rsid w:val="001A2CBC"/>
    <w:rsid w:val="001A30C4"/>
    <w:rsid w:val="001A30D0"/>
    <w:rsid w:val="001A31A6"/>
    <w:rsid w:val="001A31D0"/>
    <w:rsid w:val="001A3265"/>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2B1"/>
    <w:rsid w:val="001A5372"/>
    <w:rsid w:val="001A5652"/>
    <w:rsid w:val="001A57AE"/>
    <w:rsid w:val="001A57C3"/>
    <w:rsid w:val="001A57F1"/>
    <w:rsid w:val="001A5924"/>
    <w:rsid w:val="001A5AF4"/>
    <w:rsid w:val="001A5EF2"/>
    <w:rsid w:val="001A6157"/>
    <w:rsid w:val="001A61EB"/>
    <w:rsid w:val="001A624E"/>
    <w:rsid w:val="001A6490"/>
    <w:rsid w:val="001A677C"/>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C3E"/>
    <w:rsid w:val="001B0F6A"/>
    <w:rsid w:val="001B10CD"/>
    <w:rsid w:val="001B116D"/>
    <w:rsid w:val="001B1249"/>
    <w:rsid w:val="001B12B7"/>
    <w:rsid w:val="001B136E"/>
    <w:rsid w:val="001B16E1"/>
    <w:rsid w:val="001B1A25"/>
    <w:rsid w:val="001B1C04"/>
    <w:rsid w:val="001B1DB3"/>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B6"/>
    <w:rsid w:val="001B2CFE"/>
    <w:rsid w:val="001B32FA"/>
    <w:rsid w:val="001B349E"/>
    <w:rsid w:val="001B34AB"/>
    <w:rsid w:val="001B34B0"/>
    <w:rsid w:val="001B34DF"/>
    <w:rsid w:val="001B353C"/>
    <w:rsid w:val="001B3555"/>
    <w:rsid w:val="001B3562"/>
    <w:rsid w:val="001B3591"/>
    <w:rsid w:val="001B3754"/>
    <w:rsid w:val="001B376C"/>
    <w:rsid w:val="001B3775"/>
    <w:rsid w:val="001B3865"/>
    <w:rsid w:val="001B3907"/>
    <w:rsid w:val="001B3C75"/>
    <w:rsid w:val="001B3C88"/>
    <w:rsid w:val="001B3DCC"/>
    <w:rsid w:val="001B4002"/>
    <w:rsid w:val="001B40B1"/>
    <w:rsid w:val="001B4653"/>
    <w:rsid w:val="001B495D"/>
    <w:rsid w:val="001B49A8"/>
    <w:rsid w:val="001B4AA8"/>
    <w:rsid w:val="001B4E05"/>
    <w:rsid w:val="001B53DD"/>
    <w:rsid w:val="001B56D1"/>
    <w:rsid w:val="001B573A"/>
    <w:rsid w:val="001B580D"/>
    <w:rsid w:val="001B59FB"/>
    <w:rsid w:val="001B5B88"/>
    <w:rsid w:val="001B5BCA"/>
    <w:rsid w:val="001B5C69"/>
    <w:rsid w:val="001B5E69"/>
    <w:rsid w:val="001B5ECD"/>
    <w:rsid w:val="001B5F6A"/>
    <w:rsid w:val="001B601F"/>
    <w:rsid w:val="001B61BB"/>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CE"/>
    <w:rsid w:val="001C15FE"/>
    <w:rsid w:val="001C172D"/>
    <w:rsid w:val="001C1788"/>
    <w:rsid w:val="001C1915"/>
    <w:rsid w:val="001C1B7B"/>
    <w:rsid w:val="001C1C09"/>
    <w:rsid w:val="001C1D5B"/>
    <w:rsid w:val="001C1E18"/>
    <w:rsid w:val="001C1E1F"/>
    <w:rsid w:val="001C1E5D"/>
    <w:rsid w:val="001C1EE6"/>
    <w:rsid w:val="001C22B5"/>
    <w:rsid w:val="001C22D3"/>
    <w:rsid w:val="001C24AD"/>
    <w:rsid w:val="001C253C"/>
    <w:rsid w:val="001C2806"/>
    <w:rsid w:val="001C28F7"/>
    <w:rsid w:val="001C2921"/>
    <w:rsid w:val="001C2995"/>
    <w:rsid w:val="001C2ABC"/>
    <w:rsid w:val="001C2B21"/>
    <w:rsid w:val="001C2C81"/>
    <w:rsid w:val="001C2E04"/>
    <w:rsid w:val="001C316E"/>
    <w:rsid w:val="001C31A3"/>
    <w:rsid w:val="001C3253"/>
    <w:rsid w:val="001C3290"/>
    <w:rsid w:val="001C3369"/>
    <w:rsid w:val="001C3490"/>
    <w:rsid w:val="001C3B6B"/>
    <w:rsid w:val="001C3CB1"/>
    <w:rsid w:val="001C3F49"/>
    <w:rsid w:val="001C3F8C"/>
    <w:rsid w:val="001C3FD2"/>
    <w:rsid w:val="001C426E"/>
    <w:rsid w:val="001C4765"/>
    <w:rsid w:val="001C47EC"/>
    <w:rsid w:val="001C4A7F"/>
    <w:rsid w:val="001C4B10"/>
    <w:rsid w:val="001C4EEF"/>
    <w:rsid w:val="001C4F6E"/>
    <w:rsid w:val="001C5082"/>
    <w:rsid w:val="001C53E7"/>
    <w:rsid w:val="001C553D"/>
    <w:rsid w:val="001C557E"/>
    <w:rsid w:val="001C55D3"/>
    <w:rsid w:val="001C55EA"/>
    <w:rsid w:val="001C59D8"/>
    <w:rsid w:val="001C5B47"/>
    <w:rsid w:val="001C5E5B"/>
    <w:rsid w:val="001C6064"/>
    <w:rsid w:val="001C621F"/>
    <w:rsid w:val="001C623F"/>
    <w:rsid w:val="001C63AF"/>
    <w:rsid w:val="001C6794"/>
    <w:rsid w:val="001C6B95"/>
    <w:rsid w:val="001C6EB5"/>
    <w:rsid w:val="001C6ED0"/>
    <w:rsid w:val="001C708F"/>
    <w:rsid w:val="001C7093"/>
    <w:rsid w:val="001C7241"/>
    <w:rsid w:val="001C72F8"/>
    <w:rsid w:val="001C7353"/>
    <w:rsid w:val="001C73A0"/>
    <w:rsid w:val="001C74FC"/>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392"/>
    <w:rsid w:val="001D152E"/>
    <w:rsid w:val="001D1641"/>
    <w:rsid w:val="001D189C"/>
    <w:rsid w:val="001D1B41"/>
    <w:rsid w:val="001D1F41"/>
    <w:rsid w:val="001D2098"/>
    <w:rsid w:val="001D22DC"/>
    <w:rsid w:val="001D23D9"/>
    <w:rsid w:val="001D26A9"/>
    <w:rsid w:val="001D27A9"/>
    <w:rsid w:val="001D2DE1"/>
    <w:rsid w:val="001D2E99"/>
    <w:rsid w:val="001D3027"/>
    <w:rsid w:val="001D3081"/>
    <w:rsid w:val="001D3107"/>
    <w:rsid w:val="001D3334"/>
    <w:rsid w:val="001D33F4"/>
    <w:rsid w:val="001D33FB"/>
    <w:rsid w:val="001D37B5"/>
    <w:rsid w:val="001D37C8"/>
    <w:rsid w:val="001D3818"/>
    <w:rsid w:val="001D3AC7"/>
    <w:rsid w:val="001D3C06"/>
    <w:rsid w:val="001D3C43"/>
    <w:rsid w:val="001D3EF7"/>
    <w:rsid w:val="001D3FFA"/>
    <w:rsid w:val="001D4099"/>
    <w:rsid w:val="001D4136"/>
    <w:rsid w:val="001D4153"/>
    <w:rsid w:val="001D417C"/>
    <w:rsid w:val="001D42A6"/>
    <w:rsid w:val="001D4361"/>
    <w:rsid w:val="001D43DC"/>
    <w:rsid w:val="001D4583"/>
    <w:rsid w:val="001D47CB"/>
    <w:rsid w:val="001D48C2"/>
    <w:rsid w:val="001D49A4"/>
    <w:rsid w:val="001D4C36"/>
    <w:rsid w:val="001D4D64"/>
    <w:rsid w:val="001D4DA3"/>
    <w:rsid w:val="001D5B95"/>
    <w:rsid w:val="001D5D1F"/>
    <w:rsid w:val="001D5D9C"/>
    <w:rsid w:val="001D5F48"/>
    <w:rsid w:val="001D5F70"/>
    <w:rsid w:val="001D6039"/>
    <w:rsid w:val="001D61AD"/>
    <w:rsid w:val="001D61DE"/>
    <w:rsid w:val="001D6233"/>
    <w:rsid w:val="001D65C1"/>
    <w:rsid w:val="001D671C"/>
    <w:rsid w:val="001D6821"/>
    <w:rsid w:val="001D6824"/>
    <w:rsid w:val="001D6935"/>
    <w:rsid w:val="001D6B4B"/>
    <w:rsid w:val="001D6D47"/>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821"/>
    <w:rsid w:val="001E2ADE"/>
    <w:rsid w:val="001E2DC0"/>
    <w:rsid w:val="001E2FE9"/>
    <w:rsid w:val="001E30E9"/>
    <w:rsid w:val="001E33A4"/>
    <w:rsid w:val="001E371E"/>
    <w:rsid w:val="001E37BA"/>
    <w:rsid w:val="001E3817"/>
    <w:rsid w:val="001E3905"/>
    <w:rsid w:val="001E39FC"/>
    <w:rsid w:val="001E3C0B"/>
    <w:rsid w:val="001E3CB0"/>
    <w:rsid w:val="001E3EC9"/>
    <w:rsid w:val="001E4003"/>
    <w:rsid w:val="001E4743"/>
    <w:rsid w:val="001E4780"/>
    <w:rsid w:val="001E489B"/>
    <w:rsid w:val="001E49A3"/>
    <w:rsid w:val="001E4B45"/>
    <w:rsid w:val="001E4B8D"/>
    <w:rsid w:val="001E4BE3"/>
    <w:rsid w:val="001E4CEB"/>
    <w:rsid w:val="001E4F7D"/>
    <w:rsid w:val="001E50C7"/>
    <w:rsid w:val="001E50F2"/>
    <w:rsid w:val="001E5230"/>
    <w:rsid w:val="001E5265"/>
    <w:rsid w:val="001E55E5"/>
    <w:rsid w:val="001E576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0A"/>
    <w:rsid w:val="001E73FA"/>
    <w:rsid w:val="001E76ED"/>
    <w:rsid w:val="001E78BC"/>
    <w:rsid w:val="001E78D6"/>
    <w:rsid w:val="001E78E6"/>
    <w:rsid w:val="001E791E"/>
    <w:rsid w:val="001E7B5B"/>
    <w:rsid w:val="001E7BF8"/>
    <w:rsid w:val="001E7D43"/>
    <w:rsid w:val="001E7D7E"/>
    <w:rsid w:val="001E7EA3"/>
    <w:rsid w:val="001F058B"/>
    <w:rsid w:val="001F086B"/>
    <w:rsid w:val="001F0C32"/>
    <w:rsid w:val="001F0CA0"/>
    <w:rsid w:val="001F0D66"/>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7E0"/>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41E"/>
    <w:rsid w:val="001F58A2"/>
    <w:rsid w:val="001F58F7"/>
    <w:rsid w:val="001F5953"/>
    <w:rsid w:val="001F5A24"/>
    <w:rsid w:val="001F5AC3"/>
    <w:rsid w:val="001F5B66"/>
    <w:rsid w:val="001F5C54"/>
    <w:rsid w:val="001F5FBC"/>
    <w:rsid w:val="001F5FE2"/>
    <w:rsid w:val="001F6176"/>
    <w:rsid w:val="001F62A0"/>
    <w:rsid w:val="001F6434"/>
    <w:rsid w:val="001F6464"/>
    <w:rsid w:val="001F64C1"/>
    <w:rsid w:val="001F651E"/>
    <w:rsid w:val="001F689C"/>
    <w:rsid w:val="001F69EE"/>
    <w:rsid w:val="001F6B16"/>
    <w:rsid w:val="001F6CB3"/>
    <w:rsid w:val="001F6D30"/>
    <w:rsid w:val="001F7263"/>
    <w:rsid w:val="001F73B1"/>
    <w:rsid w:val="001F746C"/>
    <w:rsid w:val="001F76F8"/>
    <w:rsid w:val="001F77C4"/>
    <w:rsid w:val="001F77D2"/>
    <w:rsid w:val="001F77E3"/>
    <w:rsid w:val="001F7825"/>
    <w:rsid w:val="001F7D66"/>
    <w:rsid w:val="0020014B"/>
    <w:rsid w:val="0020071C"/>
    <w:rsid w:val="00200AE8"/>
    <w:rsid w:val="00200BAF"/>
    <w:rsid w:val="00200CE0"/>
    <w:rsid w:val="00200D3E"/>
    <w:rsid w:val="002011AA"/>
    <w:rsid w:val="002011E2"/>
    <w:rsid w:val="002012D7"/>
    <w:rsid w:val="00201642"/>
    <w:rsid w:val="00201C82"/>
    <w:rsid w:val="00201E71"/>
    <w:rsid w:val="002020B2"/>
    <w:rsid w:val="002024D2"/>
    <w:rsid w:val="00202561"/>
    <w:rsid w:val="0020259D"/>
    <w:rsid w:val="00202836"/>
    <w:rsid w:val="0020298E"/>
    <w:rsid w:val="00202A49"/>
    <w:rsid w:val="00202C5E"/>
    <w:rsid w:val="00202ECE"/>
    <w:rsid w:val="00202F26"/>
    <w:rsid w:val="00203454"/>
    <w:rsid w:val="0020346A"/>
    <w:rsid w:val="002034EF"/>
    <w:rsid w:val="002035CF"/>
    <w:rsid w:val="002036B7"/>
    <w:rsid w:val="00203A9B"/>
    <w:rsid w:val="00203DB6"/>
    <w:rsid w:val="0020435F"/>
    <w:rsid w:val="00204387"/>
    <w:rsid w:val="002043EA"/>
    <w:rsid w:val="002044BE"/>
    <w:rsid w:val="00204685"/>
    <w:rsid w:val="00204724"/>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57"/>
    <w:rsid w:val="00205CB3"/>
    <w:rsid w:val="00205CEE"/>
    <w:rsid w:val="00206113"/>
    <w:rsid w:val="002061C4"/>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A5"/>
    <w:rsid w:val="00207EA9"/>
    <w:rsid w:val="00210221"/>
    <w:rsid w:val="0021022E"/>
    <w:rsid w:val="002102DF"/>
    <w:rsid w:val="00210415"/>
    <w:rsid w:val="00210490"/>
    <w:rsid w:val="002104B3"/>
    <w:rsid w:val="002105EE"/>
    <w:rsid w:val="002107A7"/>
    <w:rsid w:val="00210838"/>
    <w:rsid w:val="0021083F"/>
    <w:rsid w:val="00210851"/>
    <w:rsid w:val="00210CAF"/>
    <w:rsid w:val="00210D13"/>
    <w:rsid w:val="00210EAD"/>
    <w:rsid w:val="00210F3B"/>
    <w:rsid w:val="00211167"/>
    <w:rsid w:val="002111BC"/>
    <w:rsid w:val="00211247"/>
    <w:rsid w:val="00211282"/>
    <w:rsid w:val="00211901"/>
    <w:rsid w:val="00211A4D"/>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F8"/>
    <w:rsid w:val="00213B7B"/>
    <w:rsid w:val="00213B9C"/>
    <w:rsid w:val="002146C2"/>
    <w:rsid w:val="002149D9"/>
    <w:rsid w:val="00214A8A"/>
    <w:rsid w:val="00214AD0"/>
    <w:rsid w:val="00214C2F"/>
    <w:rsid w:val="00214EC6"/>
    <w:rsid w:val="002150C2"/>
    <w:rsid w:val="00215499"/>
    <w:rsid w:val="002155F9"/>
    <w:rsid w:val="002157A9"/>
    <w:rsid w:val="002158B8"/>
    <w:rsid w:val="00215C3C"/>
    <w:rsid w:val="00215C80"/>
    <w:rsid w:val="00215CA5"/>
    <w:rsid w:val="00215DC8"/>
    <w:rsid w:val="00215F35"/>
    <w:rsid w:val="0021639D"/>
    <w:rsid w:val="00216435"/>
    <w:rsid w:val="00216439"/>
    <w:rsid w:val="00216455"/>
    <w:rsid w:val="0021649D"/>
    <w:rsid w:val="002164F5"/>
    <w:rsid w:val="002165B6"/>
    <w:rsid w:val="0021661F"/>
    <w:rsid w:val="002166B0"/>
    <w:rsid w:val="00216B0C"/>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3"/>
    <w:rsid w:val="00217CD8"/>
    <w:rsid w:val="00217CF5"/>
    <w:rsid w:val="00217E84"/>
    <w:rsid w:val="00217E96"/>
    <w:rsid w:val="002201FC"/>
    <w:rsid w:val="00220995"/>
    <w:rsid w:val="00220A6B"/>
    <w:rsid w:val="00220B36"/>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C75"/>
    <w:rsid w:val="00222D20"/>
    <w:rsid w:val="00222D28"/>
    <w:rsid w:val="00222F5F"/>
    <w:rsid w:val="00223050"/>
    <w:rsid w:val="00223080"/>
    <w:rsid w:val="002232EF"/>
    <w:rsid w:val="002232F5"/>
    <w:rsid w:val="002233FD"/>
    <w:rsid w:val="0022353E"/>
    <w:rsid w:val="002236CB"/>
    <w:rsid w:val="002239C5"/>
    <w:rsid w:val="00223A2C"/>
    <w:rsid w:val="00223BD4"/>
    <w:rsid w:val="00223C13"/>
    <w:rsid w:val="00223D07"/>
    <w:rsid w:val="00223EB3"/>
    <w:rsid w:val="00223FED"/>
    <w:rsid w:val="00224085"/>
    <w:rsid w:val="002240CD"/>
    <w:rsid w:val="00224143"/>
    <w:rsid w:val="00224195"/>
    <w:rsid w:val="00224389"/>
    <w:rsid w:val="002244C1"/>
    <w:rsid w:val="002247F9"/>
    <w:rsid w:val="00224861"/>
    <w:rsid w:val="00224983"/>
    <w:rsid w:val="002249C6"/>
    <w:rsid w:val="00224AD4"/>
    <w:rsid w:val="00224D12"/>
    <w:rsid w:val="00224E51"/>
    <w:rsid w:val="0022500E"/>
    <w:rsid w:val="00225029"/>
    <w:rsid w:val="00225044"/>
    <w:rsid w:val="00225784"/>
    <w:rsid w:val="0022594E"/>
    <w:rsid w:val="00225E02"/>
    <w:rsid w:val="00225E26"/>
    <w:rsid w:val="002261A5"/>
    <w:rsid w:val="00226316"/>
    <w:rsid w:val="002264E9"/>
    <w:rsid w:val="00226521"/>
    <w:rsid w:val="0022664B"/>
    <w:rsid w:val="00226764"/>
    <w:rsid w:val="002267FC"/>
    <w:rsid w:val="00226BE1"/>
    <w:rsid w:val="00226D0C"/>
    <w:rsid w:val="00226E48"/>
    <w:rsid w:val="00226F9E"/>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E65"/>
    <w:rsid w:val="00234F20"/>
    <w:rsid w:val="00234F21"/>
    <w:rsid w:val="002350DE"/>
    <w:rsid w:val="0023510F"/>
    <w:rsid w:val="00235159"/>
    <w:rsid w:val="002352F9"/>
    <w:rsid w:val="00235488"/>
    <w:rsid w:val="0023557C"/>
    <w:rsid w:val="00235D0F"/>
    <w:rsid w:val="00235DE9"/>
    <w:rsid w:val="0023600B"/>
    <w:rsid w:val="002361FB"/>
    <w:rsid w:val="0023625B"/>
    <w:rsid w:val="00236428"/>
    <w:rsid w:val="00236460"/>
    <w:rsid w:val="00236461"/>
    <w:rsid w:val="002364CF"/>
    <w:rsid w:val="002364EE"/>
    <w:rsid w:val="0023662D"/>
    <w:rsid w:val="00236778"/>
    <w:rsid w:val="002367EC"/>
    <w:rsid w:val="00236918"/>
    <w:rsid w:val="002369A4"/>
    <w:rsid w:val="00236B22"/>
    <w:rsid w:val="00236B98"/>
    <w:rsid w:val="00236BFD"/>
    <w:rsid w:val="00236EEC"/>
    <w:rsid w:val="0023707C"/>
    <w:rsid w:val="002371F6"/>
    <w:rsid w:val="0023720B"/>
    <w:rsid w:val="0023735B"/>
    <w:rsid w:val="00237497"/>
    <w:rsid w:val="00237577"/>
    <w:rsid w:val="002375B2"/>
    <w:rsid w:val="002376F2"/>
    <w:rsid w:val="00237739"/>
    <w:rsid w:val="002377AB"/>
    <w:rsid w:val="002377EE"/>
    <w:rsid w:val="002377F1"/>
    <w:rsid w:val="00237A8A"/>
    <w:rsid w:val="00237C37"/>
    <w:rsid w:val="00237CCC"/>
    <w:rsid w:val="00237CF9"/>
    <w:rsid w:val="00237D9C"/>
    <w:rsid w:val="00237F21"/>
    <w:rsid w:val="00237FCF"/>
    <w:rsid w:val="00240100"/>
    <w:rsid w:val="002401E4"/>
    <w:rsid w:val="002402FC"/>
    <w:rsid w:val="0024034F"/>
    <w:rsid w:val="002405E2"/>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E55"/>
    <w:rsid w:val="00241E59"/>
    <w:rsid w:val="00241EE7"/>
    <w:rsid w:val="00241F3A"/>
    <w:rsid w:val="00241F64"/>
    <w:rsid w:val="00241FD6"/>
    <w:rsid w:val="00241FD9"/>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58A"/>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C13"/>
    <w:rsid w:val="00245CE3"/>
    <w:rsid w:val="00245D91"/>
    <w:rsid w:val="00245E33"/>
    <w:rsid w:val="00245EB7"/>
    <w:rsid w:val="0024611C"/>
    <w:rsid w:val="0024625E"/>
    <w:rsid w:val="002462F8"/>
    <w:rsid w:val="00246607"/>
    <w:rsid w:val="00246734"/>
    <w:rsid w:val="00246768"/>
    <w:rsid w:val="00246870"/>
    <w:rsid w:val="00246871"/>
    <w:rsid w:val="002468FD"/>
    <w:rsid w:val="00246AE7"/>
    <w:rsid w:val="00246D48"/>
    <w:rsid w:val="00246D8E"/>
    <w:rsid w:val="00246F3B"/>
    <w:rsid w:val="00247691"/>
    <w:rsid w:val="002477C7"/>
    <w:rsid w:val="002477D4"/>
    <w:rsid w:val="0024798B"/>
    <w:rsid w:val="00247B52"/>
    <w:rsid w:val="00247D76"/>
    <w:rsid w:val="00250184"/>
    <w:rsid w:val="002502CA"/>
    <w:rsid w:val="00250487"/>
    <w:rsid w:val="00250735"/>
    <w:rsid w:val="00250820"/>
    <w:rsid w:val="002508DA"/>
    <w:rsid w:val="00250934"/>
    <w:rsid w:val="00250EA3"/>
    <w:rsid w:val="00250F7B"/>
    <w:rsid w:val="00251080"/>
    <w:rsid w:val="002512EB"/>
    <w:rsid w:val="00251741"/>
    <w:rsid w:val="0025187D"/>
    <w:rsid w:val="0025194C"/>
    <w:rsid w:val="00251A70"/>
    <w:rsid w:val="00251AB4"/>
    <w:rsid w:val="00251BB7"/>
    <w:rsid w:val="00251FB7"/>
    <w:rsid w:val="00252052"/>
    <w:rsid w:val="002520A3"/>
    <w:rsid w:val="002521CF"/>
    <w:rsid w:val="00252207"/>
    <w:rsid w:val="0025232F"/>
    <w:rsid w:val="00252476"/>
    <w:rsid w:val="0025272E"/>
    <w:rsid w:val="00252884"/>
    <w:rsid w:val="00252CDE"/>
    <w:rsid w:val="00252D6E"/>
    <w:rsid w:val="00252E59"/>
    <w:rsid w:val="00252E84"/>
    <w:rsid w:val="00252EC6"/>
    <w:rsid w:val="00253061"/>
    <w:rsid w:val="00253379"/>
    <w:rsid w:val="002537F9"/>
    <w:rsid w:val="002539C2"/>
    <w:rsid w:val="002539DA"/>
    <w:rsid w:val="002539E5"/>
    <w:rsid w:val="00253B7B"/>
    <w:rsid w:val="00253E5A"/>
    <w:rsid w:val="00253FF4"/>
    <w:rsid w:val="0025406B"/>
    <w:rsid w:val="0025416B"/>
    <w:rsid w:val="002542E8"/>
    <w:rsid w:val="0025437B"/>
    <w:rsid w:val="002543B8"/>
    <w:rsid w:val="00254458"/>
    <w:rsid w:val="0025470A"/>
    <w:rsid w:val="002547C2"/>
    <w:rsid w:val="00254A75"/>
    <w:rsid w:val="00254B14"/>
    <w:rsid w:val="0025536A"/>
    <w:rsid w:val="00255427"/>
    <w:rsid w:val="00255694"/>
    <w:rsid w:val="00255970"/>
    <w:rsid w:val="002559FD"/>
    <w:rsid w:val="00255A24"/>
    <w:rsid w:val="00255C52"/>
    <w:rsid w:val="00255CE8"/>
    <w:rsid w:val="00255DD3"/>
    <w:rsid w:val="002560A7"/>
    <w:rsid w:val="00256168"/>
    <w:rsid w:val="0025645D"/>
    <w:rsid w:val="002565D5"/>
    <w:rsid w:val="002567E8"/>
    <w:rsid w:val="002568A9"/>
    <w:rsid w:val="002568F1"/>
    <w:rsid w:val="00256A56"/>
    <w:rsid w:val="00256C0E"/>
    <w:rsid w:val="00256C1E"/>
    <w:rsid w:val="00257057"/>
    <w:rsid w:val="00257195"/>
    <w:rsid w:val="002571EE"/>
    <w:rsid w:val="0025729F"/>
    <w:rsid w:val="00257340"/>
    <w:rsid w:val="00257364"/>
    <w:rsid w:val="002573FA"/>
    <w:rsid w:val="00257487"/>
    <w:rsid w:val="002575FD"/>
    <w:rsid w:val="0025774E"/>
    <w:rsid w:val="0025777A"/>
    <w:rsid w:val="00257868"/>
    <w:rsid w:val="002579BF"/>
    <w:rsid w:val="002579F1"/>
    <w:rsid w:val="00257D86"/>
    <w:rsid w:val="0026004F"/>
    <w:rsid w:val="002601AD"/>
    <w:rsid w:val="002601B4"/>
    <w:rsid w:val="00260202"/>
    <w:rsid w:val="00260275"/>
    <w:rsid w:val="002603D6"/>
    <w:rsid w:val="002605F9"/>
    <w:rsid w:val="002608C3"/>
    <w:rsid w:val="00260A82"/>
    <w:rsid w:val="00260FA8"/>
    <w:rsid w:val="00261038"/>
    <w:rsid w:val="00261115"/>
    <w:rsid w:val="0026111B"/>
    <w:rsid w:val="0026116D"/>
    <w:rsid w:val="00261600"/>
    <w:rsid w:val="00261A3E"/>
    <w:rsid w:val="00261A99"/>
    <w:rsid w:val="00261B22"/>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B74"/>
    <w:rsid w:val="00263CF9"/>
    <w:rsid w:val="00263E9A"/>
    <w:rsid w:val="00263FA2"/>
    <w:rsid w:val="002640FB"/>
    <w:rsid w:val="0026421D"/>
    <w:rsid w:val="00264387"/>
    <w:rsid w:val="002645B7"/>
    <w:rsid w:val="0026462D"/>
    <w:rsid w:val="0026469A"/>
    <w:rsid w:val="00264806"/>
    <w:rsid w:val="00264A81"/>
    <w:rsid w:val="00264AC4"/>
    <w:rsid w:val="00264C9A"/>
    <w:rsid w:val="00265031"/>
    <w:rsid w:val="00265208"/>
    <w:rsid w:val="00265223"/>
    <w:rsid w:val="002653F8"/>
    <w:rsid w:val="00265767"/>
    <w:rsid w:val="00265A37"/>
    <w:rsid w:val="00265C8B"/>
    <w:rsid w:val="00265DED"/>
    <w:rsid w:val="002660C9"/>
    <w:rsid w:val="002661E7"/>
    <w:rsid w:val="0026638E"/>
    <w:rsid w:val="00266799"/>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513"/>
    <w:rsid w:val="00270789"/>
    <w:rsid w:val="00270954"/>
    <w:rsid w:val="0027098C"/>
    <w:rsid w:val="00270A05"/>
    <w:rsid w:val="00270DE8"/>
    <w:rsid w:val="00270E04"/>
    <w:rsid w:val="00270EA0"/>
    <w:rsid w:val="00270F8F"/>
    <w:rsid w:val="0027123A"/>
    <w:rsid w:val="00271369"/>
    <w:rsid w:val="0027150E"/>
    <w:rsid w:val="00271558"/>
    <w:rsid w:val="002718EA"/>
    <w:rsid w:val="00271A03"/>
    <w:rsid w:val="00271A5D"/>
    <w:rsid w:val="00271AD8"/>
    <w:rsid w:val="00271E37"/>
    <w:rsid w:val="00271ED3"/>
    <w:rsid w:val="00271EED"/>
    <w:rsid w:val="00271F59"/>
    <w:rsid w:val="0027206F"/>
    <w:rsid w:val="002722AF"/>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1D"/>
    <w:rsid w:val="00274AD4"/>
    <w:rsid w:val="00274AE7"/>
    <w:rsid w:val="00274BEF"/>
    <w:rsid w:val="00274E58"/>
    <w:rsid w:val="00274EB5"/>
    <w:rsid w:val="002750E9"/>
    <w:rsid w:val="00275106"/>
    <w:rsid w:val="002752F7"/>
    <w:rsid w:val="00275600"/>
    <w:rsid w:val="00275651"/>
    <w:rsid w:val="0027577C"/>
    <w:rsid w:val="00275807"/>
    <w:rsid w:val="00275951"/>
    <w:rsid w:val="00275A90"/>
    <w:rsid w:val="00275B91"/>
    <w:rsid w:val="00275C11"/>
    <w:rsid w:val="00275DAC"/>
    <w:rsid w:val="00276012"/>
    <w:rsid w:val="002760B3"/>
    <w:rsid w:val="00276222"/>
    <w:rsid w:val="0027627C"/>
    <w:rsid w:val="002762D4"/>
    <w:rsid w:val="00276661"/>
    <w:rsid w:val="002768D2"/>
    <w:rsid w:val="00276AAA"/>
    <w:rsid w:val="00276BC9"/>
    <w:rsid w:val="00276D3C"/>
    <w:rsid w:val="00276D6F"/>
    <w:rsid w:val="00276DA8"/>
    <w:rsid w:val="00276E14"/>
    <w:rsid w:val="00276E72"/>
    <w:rsid w:val="00277132"/>
    <w:rsid w:val="002771CA"/>
    <w:rsid w:val="0027721D"/>
    <w:rsid w:val="0027733C"/>
    <w:rsid w:val="002775FA"/>
    <w:rsid w:val="00277788"/>
    <w:rsid w:val="002778E3"/>
    <w:rsid w:val="00277A97"/>
    <w:rsid w:val="00277B71"/>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692"/>
    <w:rsid w:val="002817E8"/>
    <w:rsid w:val="00281AAD"/>
    <w:rsid w:val="00281CEA"/>
    <w:rsid w:val="00281FC9"/>
    <w:rsid w:val="00282005"/>
    <w:rsid w:val="00282012"/>
    <w:rsid w:val="00282248"/>
    <w:rsid w:val="00282294"/>
    <w:rsid w:val="002826BB"/>
    <w:rsid w:val="002827E3"/>
    <w:rsid w:val="002829FC"/>
    <w:rsid w:val="00282BD4"/>
    <w:rsid w:val="00282BEB"/>
    <w:rsid w:val="00282C34"/>
    <w:rsid w:val="00282DF4"/>
    <w:rsid w:val="00283203"/>
    <w:rsid w:val="0028326B"/>
    <w:rsid w:val="002833B9"/>
    <w:rsid w:val="00283452"/>
    <w:rsid w:val="002836C5"/>
    <w:rsid w:val="00283905"/>
    <w:rsid w:val="002839A4"/>
    <w:rsid w:val="00283ACA"/>
    <w:rsid w:val="00283D21"/>
    <w:rsid w:val="00283D90"/>
    <w:rsid w:val="002840F4"/>
    <w:rsid w:val="0028424B"/>
    <w:rsid w:val="0028433E"/>
    <w:rsid w:val="002844FA"/>
    <w:rsid w:val="00284531"/>
    <w:rsid w:val="00284551"/>
    <w:rsid w:val="00284CBA"/>
    <w:rsid w:val="00284CD4"/>
    <w:rsid w:val="0028504B"/>
    <w:rsid w:val="00285068"/>
    <w:rsid w:val="00285173"/>
    <w:rsid w:val="00285365"/>
    <w:rsid w:val="00285490"/>
    <w:rsid w:val="00285A01"/>
    <w:rsid w:val="00285ABF"/>
    <w:rsid w:val="00285BAE"/>
    <w:rsid w:val="00285BC3"/>
    <w:rsid w:val="00285D15"/>
    <w:rsid w:val="00285F4E"/>
    <w:rsid w:val="00285F67"/>
    <w:rsid w:val="0028617C"/>
    <w:rsid w:val="002863D8"/>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CB6"/>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402"/>
    <w:rsid w:val="0029167F"/>
    <w:rsid w:val="00291686"/>
    <w:rsid w:val="00291770"/>
    <w:rsid w:val="00291928"/>
    <w:rsid w:val="002919C7"/>
    <w:rsid w:val="00291A68"/>
    <w:rsid w:val="00291E80"/>
    <w:rsid w:val="00291F81"/>
    <w:rsid w:val="002921B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8A9"/>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FC"/>
    <w:rsid w:val="00295548"/>
    <w:rsid w:val="002955E2"/>
    <w:rsid w:val="002956C1"/>
    <w:rsid w:val="0029572F"/>
    <w:rsid w:val="002958B2"/>
    <w:rsid w:val="00295918"/>
    <w:rsid w:val="002959CE"/>
    <w:rsid w:val="00295B37"/>
    <w:rsid w:val="00295C22"/>
    <w:rsid w:val="00295CEC"/>
    <w:rsid w:val="00295D44"/>
    <w:rsid w:val="00295D72"/>
    <w:rsid w:val="00295D7C"/>
    <w:rsid w:val="00295DFA"/>
    <w:rsid w:val="002960AB"/>
    <w:rsid w:val="00296487"/>
    <w:rsid w:val="002967CA"/>
    <w:rsid w:val="002968AF"/>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E13"/>
    <w:rsid w:val="002A0F09"/>
    <w:rsid w:val="002A0FA4"/>
    <w:rsid w:val="002A114B"/>
    <w:rsid w:val="002A1189"/>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69"/>
    <w:rsid w:val="002A309C"/>
    <w:rsid w:val="002A32B7"/>
    <w:rsid w:val="002A3350"/>
    <w:rsid w:val="002A3365"/>
    <w:rsid w:val="002A3802"/>
    <w:rsid w:val="002A3C71"/>
    <w:rsid w:val="002A3D7B"/>
    <w:rsid w:val="002A3E59"/>
    <w:rsid w:val="002A4006"/>
    <w:rsid w:val="002A4152"/>
    <w:rsid w:val="002A4208"/>
    <w:rsid w:val="002A43BA"/>
    <w:rsid w:val="002A44DE"/>
    <w:rsid w:val="002A455F"/>
    <w:rsid w:val="002A464E"/>
    <w:rsid w:val="002A4B19"/>
    <w:rsid w:val="002A4CED"/>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07E"/>
    <w:rsid w:val="002A61B3"/>
    <w:rsid w:val="002A6277"/>
    <w:rsid w:val="002A63B7"/>
    <w:rsid w:val="002A6456"/>
    <w:rsid w:val="002A64F9"/>
    <w:rsid w:val="002A6708"/>
    <w:rsid w:val="002A67D5"/>
    <w:rsid w:val="002A68D5"/>
    <w:rsid w:val="002A6C03"/>
    <w:rsid w:val="002A6D9A"/>
    <w:rsid w:val="002A6EC2"/>
    <w:rsid w:val="002A6F45"/>
    <w:rsid w:val="002A6F85"/>
    <w:rsid w:val="002A70D0"/>
    <w:rsid w:val="002A739A"/>
    <w:rsid w:val="002A763F"/>
    <w:rsid w:val="002A77BE"/>
    <w:rsid w:val="002A78AD"/>
    <w:rsid w:val="002A78AF"/>
    <w:rsid w:val="002A7B3F"/>
    <w:rsid w:val="002A7BC6"/>
    <w:rsid w:val="002A7C6E"/>
    <w:rsid w:val="002A7D16"/>
    <w:rsid w:val="002A7D49"/>
    <w:rsid w:val="002A7FF8"/>
    <w:rsid w:val="002B0443"/>
    <w:rsid w:val="002B0756"/>
    <w:rsid w:val="002B07A3"/>
    <w:rsid w:val="002B085D"/>
    <w:rsid w:val="002B08A0"/>
    <w:rsid w:val="002B08F9"/>
    <w:rsid w:val="002B0A79"/>
    <w:rsid w:val="002B0B43"/>
    <w:rsid w:val="002B0E14"/>
    <w:rsid w:val="002B0E1A"/>
    <w:rsid w:val="002B1050"/>
    <w:rsid w:val="002B1133"/>
    <w:rsid w:val="002B122E"/>
    <w:rsid w:val="002B1272"/>
    <w:rsid w:val="002B143D"/>
    <w:rsid w:val="002B14E7"/>
    <w:rsid w:val="002B1536"/>
    <w:rsid w:val="002B159D"/>
    <w:rsid w:val="002B15AA"/>
    <w:rsid w:val="002B16DE"/>
    <w:rsid w:val="002B17C9"/>
    <w:rsid w:val="002B1827"/>
    <w:rsid w:val="002B1952"/>
    <w:rsid w:val="002B19D8"/>
    <w:rsid w:val="002B1A89"/>
    <w:rsid w:val="002B1F86"/>
    <w:rsid w:val="002B1F98"/>
    <w:rsid w:val="002B20E4"/>
    <w:rsid w:val="002B2202"/>
    <w:rsid w:val="002B2248"/>
    <w:rsid w:val="002B22CE"/>
    <w:rsid w:val="002B236E"/>
    <w:rsid w:val="002B239B"/>
    <w:rsid w:val="002B2641"/>
    <w:rsid w:val="002B26A6"/>
    <w:rsid w:val="002B26D8"/>
    <w:rsid w:val="002B2ACE"/>
    <w:rsid w:val="002B2C0B"/>
    <w:rsid w:val="002B2D4C"/>
    <w:rsid w:val="002B2F75"/>
    <w:rsid w:val="002B2F81"/>
    <w:rsid w:val="002B307D"/>
    <w:rsid w:val="002B310B"/>
    <w:rsid w:val="002B3168"/>
    <w:rsid w:val="002B3366"/>
    <w:rsid w:val="002B3371"/>
    <w:rsid w:val="002B348B"/>
    <w:rsid w:val="002B358D"/>
    <w:rsid w:val="002B3773"/>
    <w:rsid w:val="002B3947"/>
    <w:rsid w:val="002B398D"/>
    <w:rsid w:val="002B3D33"/>
    <w:rsid w:val="002B3D42"/>
    <w:rsid w:val="002B3DD9"/>
    <w:rsid w:val="002B3E80"/>
    <w:rsid w:val="002B3EE5"/>
    <w:rsid w:val="002B4223"/>
    <w:rsid w:val="002B43F8"/>
    <w:rsid w:val="002B44E5"/>
    <w:rsid w:val="002B4627"/>
    <w:rsid w:val="002B462B"/>
    <w:rsid w:val="002B4665"/>
    <w:rsid w:val="002B47BD"/>
    <w:rsid w:val="002B4870"/>
    <w:rsid w:val="002B4962"/>
    <w:rsid w:val="002B4963"/>
    <w:rsid w:val="002B4D2D"/>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A8C"/>
    <w:rsid w:val="002B6CA5"/>
    <w:rsid w:val="002B7006"/>
    <w:rsid w:val="002B7046"/>
    <w:rsid w:val="002B7067"/>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39"/>
    <w:rsid w:val="002C0D7B"/>
    <w:rsid w:val="002C10D5"/>
    <w:rsid w:val="002C1168"/>
    <w:rsid w:val="002C1276"/>
    <w:rsid w:val="002C1280"/>
    <w:rsid w:val="002C150D"/>
    <w:rsid w:val="002C19ED"/>
    <w:rsid w:val="002C1BEA"/>
    <w:rsid w:val="002C1C5F"/>
    <w:rsid w:val="002C1DCA"/>
    <w:rsid w:val="002C1E49"/>
    <w:rsid w:val="002C2212"/>
    <w:rsid w:val="002C251D"/>
    <w:rsid w:val="002C2548"/>
    <w:rsid w:val="002C2675"/>
    <w:rsid w:val="002C27DD"/>
    <w:rsid w:val="002C283E"/>
    <w:rsid w:val="002C2881"/>
    <w:rsid w:val="002C297A"/>
    <w:rsid w:val="002C2EB3"/>
    <w:rsid w:val="002C2F26"/>
    <w:rsid w:val="002C2FC0"/>
    <w:rsid w:val="002C30CE"/>
    <w:rsid w:val="002C3190"/>
    <w:rsid w:val="002C334E"/>
    <w:rsid w:val="002C3C4F"/>
    <w:rsid w:val="002C3D05"/>
    <w:rsid w:val="002C3E3D"/>
    <w:rsid w:val="002C434E"/>
    <w:rsid w:val="002C45DE"/>
    <w:rsid w:val="002C4697"/>
    <w:rsid w:val="002C4C66"/>
    <w:rsid w:val="002C4C83"/>
    <w:rsid w:val="002C4D74"/>
    <w:rsid w:val="002C4E1D"/>
    <w:rsid w:val="002C4E2E"/>
    <w:rsid w:val="002C4EC5"/>
    <w:rsid w:val="002C546F"/>
    <w:rsid w:val="002C5524"/>
    <w:rsid w:val="002C552F"/>
    <w:rsid w:val="002C5697"/>
    <w:rsid w:val="002C5908"/>
    <w:rsid w:val="002C5923"/>
    <w:rsid w:val="002C59D2"/>
    <w:rsid w:val="002C5EC1"/>
    <w:rsid w:val="002C5EE3"/>
    <w:rsid w:val="002C5EFD"/>
    <w:rsid w:val="002C6280"/>
    <w:rsid w:val="002C6301"/>
    <w:rsid w:val="002C6305"/>
    <w:rsid w:val="002C6412"/>
    <w:rsid w:val="002C64F1"/>
    <w:rsid w:val="002C6561"/>
    <w:rsid w:val="002C6648"/>
    <w:rsid w:val="002C681F"/>
    <w:rsid w:val="002C6990"/>
    <w:rsid w:val="002C69EC"/>
    <w:rsid w:val="002C6C49"/>
    <w:rsid w:val="002C6DD9"/>
    <w:rsid w:val="002C6EAD"/>
    <w:rsid w:val="002C6FC5"/>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6A7"/>
    <w:rsid w:val="002D06F9"/>
    <w:rsid w:val="002D076D"/>
    <w:rsid w:val="002D096D"/>
    <w:rsid w:val="002D0AC6"/>
    <w:rsid w:val="002D0C2A"/>
    <w:rsid w:val="002D0C6B"/>
    <w:rsid w:val="002D0D22"/>
    <w:rsid w:val="002D106C"/>
    <w:rsid w:val="002D14C9"/>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0FD"/>
    <w:rsid w:val="002D3144"/>
    <w:rsid w:val="002D34C9"/>
    <w:rsid w:val="002D3500"/>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ECA"/>
    <w:rsid w:val="002D5084"/>
    <w:rsid w:val="002D509C"/>
    <w:rsid w:val="002D51AE"/>
    <w:rsid w:val="002D560C"/>
    <w:rsid w:val="002D57C1"/>
    <w:rsid w:val="002D59CB"/>
    <w:rsid w:val="002D5ABA"/>
    <w:rsid w:val="002D5CB4"/>
    <w:rsid w:val="002D5F22"/>
    <w:rsid w:val="002D5F3A"/>
    <w:rsid w:val="002D5F79"/>
    <w:rsid w:val="002D624E"/>
    <w:rsid w:val="002D64F3"/>
    <w:rsid w:val="002D65F2"/>
    <w:rsid w:val="002D6A60"/>
    <w:rsid w:val="002D6F74"/>
    <w:rsid w:val="002D71CA"/>
    <w:rsid w:val="002D7440"/>
    <w:rsid w:val="002D74A5"/>
    <w:rsid w:val="002D7576"/>
    <w:rsid w:val="002D75B1"/>
    <w:rsid w:val="002D77F7"/>
    <w:rsid w:val="002D7A9F"/>
    <w:rsid w:val="002D7E0E"/>
    <w:rsid w:val="002D7E54"/>
    <w:rsid w:val="002D7EDB"/>
    <w:rsid w:val="002D7F48"/>
    <w:rsid w:val="002E0005"/>
    <w:rsid w:val="002E01B2"/>
    <w:rsid w:val="002E01FB"/>
    <w:rsid w:val="002E032E"/>
    <w:rsid w:val="002E0432"/>
    <w:rsid w:val="002E0481"/>
    <w:rsid w:val="002E0690"/>
    <w:rsid w:val="002E07ED"/>
    <w:rsid w:val="002E0A8D"/>
    <w:rsid w:val="002E0E02"/>
    <w:rsid w:val="002E0E47"/>
    <w:rsid w:val="002E0F18"/>
    <w:rsid w:val="002E10AF"/>
    <w:rsid w:val="002E10CB"/>
    <w:rsid w:val="002E145F"/>
    <w:rsid w:val="002E14E7"/>
    <w:rsid w:val="002E15EE"/>
    <w:rsid w:val="002E17BE"/>
    <w:rsid w:val="002E188C"/>
    <w:rsid w:val="002E1890"/>
    <w:rsid w:val="002E1A63"/>
    <w:rsid w:val="002E1B7B"/>
    <w:rsid w:val="002E1C07"/>
    <w:rsid w:val="002E1F58"/>
    <w:rsid w:val="002E24DB"/>
    <w:rsid w:val="002E25FF"/>
    <w:rsid w:val="002E2671"/>
    <w:rsid w:val="002E295C"/>
    <w:rsid w:val="002E2DEC"/>
    <w:rsid w:val="002E2E79"/>
    <w:rsid w:val="002E32C2"/>
    <w:rsid w:val="002E3411"/>
    <w:rsid w:val="002E37D2"/>
    <w:rsid w:val="002E3A30"/>
    <w:rsid w:val="002E3AA8"/>
    <w:rsid w:val="002E3D73"/>
    <w:rsid w:val="002E3E45"/>
    <w:rsid w:val="002E3F15"/>
    <w:rsid w:val="002E3FBD"/>
    <w:rsid w:val="002E4769"/>
    <w:rsid w:val="002E47BC"/>
    <w:rsid w:val="002E4856"/>
    <w:rsid w:val="002E48DF"/>
    <w:rsid w:val="002E4B1F"/>
    <w:rsid w:val="002E4C7E"/>
    <w:rsid w:val="002E4D0B"/>
    <w:rsid w:val="002E4E5C"/>
    <w:rsid w:val="002E5115"/>
    <w:rsid w:val="002E5208"/>
    <w:rsid w:val="002E5298"/>
    <w:rsid w:val="002E5343"/>
    <w:rsid w:val="002E546D"/>
    <w:rsid w:val="002E582C"/>
    <w:rsid w:val="002E5BB2"/>
    <w:rsid w:val="002E5C64"/>
    <w:rsid w:val="002E5CCE"/>
    <w:rsid w:val="002E5D46"/>
    <w:rsid w:val="002E5D9E"/>
    <w:rsid w:val="002E5E26"/>
    <w:rsid w:val="002E5FA1"/>
    <w:rsid w:val="002E6053"/>
    <w:rsid w:val="002E60A4"/>
    <w:rsid w:val="002E65F3"/>
    <w:rsid w:val="002E664D"/>
    <w:rsid w:val="002E676A"/>
    <w:rsid w:val="002E6957"/>
    <w:rsid w:val="002E6B7E"/>
    <w:rsid w:val="002E6E6A"/>
    <w:rsid w:val="002E7031"/>
    <w:rsid w:val="002E703C"/>
    <w:rsid w:val="002E705B"/>
    <w:rsid w:val="002E7225"/>
    <w:rsid w:val="002E7470"/>
    <w:rsid w:val="002E75DD"/>
    <w:rsid w:val="002E76E6"/>
    <w:rsid w:val="002E76FA"/>
    <w:rsid w:val="002E7A5E"/>
    <w:rsid w:val="002E7A7B"/>
    <w:rsid w:val="002E7C17"/>
    <w:rsid w:val="002E7CB3"/>
    <w:rsid w:val="002F03CC"/>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4A9"/>
    <w:rsid w:val="002F15C1"/>
    <w:rsid w:val="002F15F2"/>
    <w:rsid w:val="002F15F9"/>
    <w:rsid w:val="002F16AC"/>
    <w:rsid w:val="002F1883"/>
    <w:rsid w:val="002F1C68"/>
    <w:rsid w:val="002F1C95"/>
    <w:rsid w:val="002F1F76"/>
    <w:rsid w:val="002F21C5"/>
    <w:rsid w:val="002F22B2"/>
    <w:rsid w:val="002F24C6"/>
    <w:rsid w:val="002F2551"/>
    <w:rsid w:val="002F268C"/>
    <w:rsid w:val="002F2B94"/>
    <w:rsid w:val="002F2CD0"/>
    <w:rsid w:val="002F2CE9"/>
    <w:rsid w:val="002F2E9D"/>
    <w:rsid w:val="002F3075"/>
    <w:rsid w:val="002F31C0"/>
    <w:rsid w:val="002F3223"/>
    <w:rsid w:val="002F334D"/>
    <w:rsid w:val="002F345A"/>
    <w:rsid w:val="002F34C4"/>
    <w:rsid w:val="002F36FF"/>
    <w:rsid w:val="002F372D"/>
    <w:rsid w:val="002F3846"/>
    <w:rsid w:val="002F3B77"/>
    <w:rsid w:val="002F3BEF"/>
    <w:rsid w:val="002F3C24"/>
    <w:rsid w:val="002F4474"/>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641F"/>
    <w:rsid w:val="002F6723"/>
    <w:rsid w:val="002F68BB"/>
    <w:rsid w:val="002F6A72"/>
    <w:rsid w:val="002F6AC8"/>
    <w:rsid w:val="002F6C3B"/>
    <w:rsid w:val="002F6C5C"/>
    <w:rsid w:val="002F6C9B"/>
    <w:rsid w:val="002F7095"/>
    <w:rsid w:val="002F7174"/>
    <w:rsid w:val="002F71F5"/>
    <w:rsid w:val="002F74DA"/>
    <w:rsid w:val="002F7513"/>
    <w:rsid w:val="002F7580"/>
    <w:rsid w:val="002F7647"/>
    <w:rsid w:val="002F785A"/>
    <w:rsid w:val="002F7896"/>
    <w:rsid w:val="002F7976"/>
    <w:rsid w:val="002F7A04"/>
    <w:rsid w:val="002F7B26"/>
    <w:rsid w:val="002F7E29"/>
    <w:rsid w:val="002F7EF4"/>
    <w:rsid w:val="003002BB"/>
    <w:rsid w:val="00300428"/>
    <w:rsid w:val="003005CC"/>
    <w:rsid w:val="0030083C"/>
    <w:rsid w:val="0030088C"/>
    <w:rsid w:val="00300A67"/>
    <w:rsid w:val="00300B89"/>
    <w:rsid w:val="00300B90"/>
    <w:rsid w:val="00300C0A"/>
    <w:rsid w:val="00300CA3"/>
    <w:rsid w:val="00300DA0"/>
    <w:rsid w:val="00300E69"/>
    <w:rsid w:val="00300F2A"/>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A67"/>
    <w:rsid w:val="00302B1A"/>
    <w:rsid w:val="00302B63"/>
    <w:rsid w:val="00302CEF"/>
    <w:rsid w:val="00302E02"/>
    <w:rsid w:val="00302FBD"/>
    <w:rsid w:val="0030302E"/>
    <w:rsid w:val="0030319C"/>
    <w:rsid w:val="003031E8"/>
    <w:rsid w:val="0030333E"/>
    <w:rsid w:val="003034B3"/>
    <w:rsid w:val="00303755"/>
    <w:rsid w:val="00303843"/>
    <w:rsid w:val="003038D8"/>
    <w:rsid w:val="003038E7"/>
    <w:rsid w:val="0030395F"/>
    <w:rsid w:val="00303D8C"/>
    <w:rsid w:val="0030404D"/>
    <w:rsid w:val="003044A4"/>
    <w:rsid w:val="003044EF"/>
    <w:rsid w:val="00304567"/>
    <w:rsid w:val="00304650"/>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76"/>
    <w:rsid w:val="00305984"/>
    <w:rsid w:val="003059E7"/>
    <w:rsid w:val="00305A29"/>
    <w:rsid w:val="00305B6D"/>
    <w:rsid w:val="00305B9A"/>
    <w:rsid w:val="00305BA0"/>
    <w:rsid w:val="00305C58"/>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FA8"/>
    <w:rsid w:val="0031110D"/>
    <w:rsid w:val="003111C2"/>
    <w:rsid w:val="003111C4"/>
    <w:rsid w:val="00311299"/>
    <w:rsid w:val="003113BD"/>
    <w:rsid w:val="00311557"/>
    <w:rsid w:val="0031170C"/>
    <w:rsid w:val="0031171E"/>
    <w:rsid w:val="00311C73"/>
    <w:rsid w:val="00311D67"/>
    <w:rsid w:val="00311E55"/>
    <w:rsid w:val="00311EF1"/>
    <w:rsid w:val="00311FC6"/>
    <w:rsid w:val="00312058"/>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C39"/>
    <w:rsid w:val="00313F0B"/>
    <w:rsid w:val="0031404B"/>
    <w:rsid w:val="00314174"/>
    <w:rsid w:val="0031442E"/>
    <w:rsid w:val="0031460C"/>
    <w:rsid w:val="003146BD"/>
    <w:rsid w:val="00314911"/>
    <w:rsid w:val="00314AAF"/>
    <w:rsid w:val="00314B3C"/>
    <w:rsid w:val="00314D7B"/>
    <w:rsid w:val="00314FE1"/>
    <w:rsid w:val="00315158"/>
    <w:rsid w:val="00315E74"/>
    <w:rsid w:val="00316264"/>
    <w:rsid w:val="003163D1"/>
    <w:rsid w:val="003167AA"/>
    <w:rsid w:val="003167D3"/>
    <w:rsid w:val="0031680F"/>
    <w:rsid w:val="00316A46"/>
    <w:rsid w:val="00316A63"/>
    <w:rsid w:val="00316D2A"/>
    <w:rsid w:val="00316D7D"/>
    <w:rsid w:val="00316DA2"/>
    <w:rsid w:val="00316EC3"/>
    <w:rsid w:val="003170BD"/>
    <w:rsid w:val="0031714F"/>
    <w:rsid w:val="00317204"/>
    <w:rsid w:val="003172A0"/>
    <w:rsid w:val="003172E6"/>
    <w:rsid w:val="00317430"/>
    <w:rsid w:val="00317469"/>
    <w:rsid w:val="0031768F"/>
    <w:rsid w:val="003176A2"/>
    <w:rsid w:val="00317AF5"/>
    <w:rsid w:val="00317E70"/>
    <w:rsid w:val="00317F14"/>
    <w:rsid w:val="00317F22"/>
    <w:rsid w:val="00317F42"/>
    <w:rsid w:val="00317F52"/>
    <w:rsid w:val="00317F5C"/>
    <w:rsid w:val="00317FC1"/>
    <w:rsid w:val="00320065"/>
    <w:rsid w:val="003200DB"/>
    <w:rsid w:val="003200F2"/>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674"/>
    <w:rsid w:val="003228A8"/>
    <w:rsid w:val="003228D7"/>
    <w:rsid w:val="00322923"/>
    <w:rsid w:val="003229C0"/>
    <w:rsid w:val="00322D34"/>
    <w:rsid w:val="00322D71"/>
    <w:rsid w:val="00322E31"/>
    <w:rsid w:val="00322F7A"/>
    <w:rsid w:val="00323298"/>
    <w:rsid w:val="003234D1"/>
    <w:rsid w:val="0032369D"/>
    <w:rsid w:val="003237D0"/>
    <w:rsid w:val="003239E5"/>
    <w:rsid w:val="00323B02"/>
    <w:rsid w:val="00323C06"/>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D1"/>
    <w:rsid w:val="00325239"/>
    <w:rsid w:val="003252F9"/>
    <w:rsid w:val="003253D4"/>
    <w:rsid w:val="00325495"/>
    <w:rsid w:val="003257B2"/>
    <w:rsid w:val="0032583F"/>
    <w:rsid w:val="0032593B"/>
    <w:rsid w:val="00325E5C"/>
    <w:rsid w:val="00325F55"/>
    <w:rsid w:val="0032600B"/>
    <w:rsid w:val="003261A8"/>
    <w:rsid w:val="00326367"/>
    <w:rsid w:val="003263E2"/>
    <w:rsid w:val="00326A12"/>
    <w:rsid w:val="00326B29"/>
    <w:rsid w:val="00326B59"/>
    <w:rsid w:val="00326BB8"/>
    <w:rsid w:val="00326C61"/>
    <w:rsid w:val="00326D6A"/>
    <w:rsid w:val="00327052"/>
    <w:rsid w:val="0032714B"/>
    <w:rsid w:val="003273D3"/>
    <w:rsid w:val="00327693"/>
    <w:rsid w:val="0032784D"/>
    <w:rsid w:val="00327CD1"/>
    <w:rsid w:val="00327D83"/>
    <w:rsid w:val="00327DF3"/>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E94"/>
    <w:rsid w:val="00330F19"/>
    <w:rsid w:val="00330F92"/>
    <w:rsid w:val="00330FEE"/>
    <w:rsid w:val="0033106D"/>
    <w:rsid w:val="0033114B"/>
    <w:rsid w:val="0033133E"/>
    <w:rsid w:val="00331572"/>
    <w:rsid w:val="003316DB"/>
    <w:rsid w:val="003317D5"/>
    <w:rsid w:val="00331ACA"/>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C3"/>
    <w:rsid w:val="00333572"/>
    <w:rsid w:val="00333753"/>
    <w:rsid w:val="00333999"/>
    <w:rsid w:val="003339EE"/>
    <w:rsid w:val="00333AA6"/>
    <w:rsid w:val="00333CA5"/>
    <w:rsid w:val="00333D4A"/>
    <w:rsid w:val="00333D87"/>
    <w:rsid w:val="00333EE9"/>
    <w:rsid w:val="0033410A"/>
    <w:rsid w:val="00334606"/>
    <w:rsid w:val="003348A5"/>
    <w:rsid w:val="00334BF1"/>
    <w:rsid w:val="00334DD8"/>
    <w:rsid w:val="00334E8D"/>
    <w:rsid w:val="00334EA9"/>
    <w:rsid w:val="003350A1"/>
    <w:rsid w:val="00335227"/>
    <w:rsid w:val="003352D3"/>
    <w:rsid w:val="00335322"/>
    <w:rsid w:val="003353D8"/>
    <w:rsid w:val="003355A0"/>
    <w:rsid w:val="0033577D"/>
    <w:rsid w:val="00335835"/>
    <w:rsid w:val="00335857"/>
    <w:rsid w:val="00335A41"/>
    <w:rsid w:val="00335A55"/>
    <w:rsid w:val="00335BA6"/>
    <w:rsid w:val="00335C65"/>
    <w:rsid w:val="00336496"/>
    <w:rsid w:val="00336608"/>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400BF"/>
    <w:rsid w:val="00340114"/>
    <w:rsid w:val="003402D2"/>
    <w:rsid w:val="00340366"/>
    <w:rsid w:val="003406D4"/>
    <w:rsid w:val="00340A44"/>
    <w:rsid w:val="00340A46"/>
    <w:rsid w:val="00340A9E"/>
    <w:rsid w:val="00340B71"/>
    <w:rsid w:val="00340BA1"/>
    <w:rsid w:val="00340C89"/>
    <w:rsid w:val="00340CDB"/>
    <w:rsid w:val="00340EDA"/>
    <w:rsid w:val="00341204"/>
    <w:rsid w:val="0034136D"/>
    <w:rsid w:val="00341424"/>
    <w:rsid w:val="003419FD"/>
    <w:rsid w:val="00341A03"/>
    <w:rsid w:val="00341B64"/>
    <w:rsid w:val="00341C1E"/>
    <w:rsid w:val="00341CF3"/>
    <w:rsid w:val="00341CFD"/>
    <w:rsid w:val="00341D36"/>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92"/>
    <w:rsid w:val="003437A6"/>
    <w:rsid w:val="00343A3D"/>
    <w:rsid w:val="00343C1C"/>
    <w:rsid w:val="00343EC7"/>
    <w:rsid w:val="00343F40"/>
    <w:rsid w:val="003440A0"/>
    <w:rsid w:val="003442AB"/>
    <w:rsid w:val="0034436A"/>
    <w:rsid w:val="003443E3"/>
    <w:rsid w:val="003444B6"/>
    <w:rsid w:val="003444E3"/>
    <w:rsid w:val="003445BC"/>
    <w:rsid w:val="00344648"/>
    <w:rsid w:val="0034472E"/>
    <w:rsid w:val="003447D3"/>
    <w:rsid w:val="00344AE9"/>
    <w:rsid w:val="00344C0F"/>
    <w:rsid w:val="00344C56"/>
    <w:rsid w:val="00344D2E"/>
    <w:rsid w:val="00344D54"/>
    <w:rsid w:val="00344E3F"/>
    <w:rsid w:val="00344FB9"/>
    <w:rsid w:val="003450D5"/>
    <w:rsid w:val="003451CC"/>
    <w:rsid w:val="003453B5"/>
    <w:rsid w:val="00345553"/>
    <w:rsid w:val="00345A1C"/>
    <w:rsid w:val="00345B38"/>
    <w:rsid w:val="00345C1B"/>
    <w:rsid w:val="00345DFE"/>
    <w:rsid w:val="00346047"/>
    <w:rsid w:val="003460B3"/>
    <w:rsid w:val="00346548"/>
    <w:rsid w:val="003465E5"/>
    <w:rsid w:val="003469A1"/>
    <w:rsid w:val="00346B09"/>
    <w:rsid w:val="00346E0C"/>
    <w:rsid w:val="00347236"/>
    <w:rsid w:val="00347389"/>
    <w:rsid w:val="003474D9"/>
    <w:rsid w:val="00347567"/>
    <w:rsid w:val="003475B9"/>
    <w:rsid w:val="00347770"/>
    <w:rsid w:val="00347862"/>
    <w:rsid w:val="00347A17"/>
    <w:rsid w:val="00347E60"/>
    <w:rsid w:val="003502E5"/>
    <w:rsid w:val="00350394"/>
    <w:rsid w:val="003503D2"/>
    <w:rsid w:val="00350424"/>
    <w:rsid w:val="00350434"/>
    <w:rsid w:val="003505D8"/>
    <w:rsid w:val="0035064F"/>
    <w:rsid w:val="00350A40"/>
    <w:rsid w:val="00350AF6"/>
    <w:rsid w:val="00350BC7"/>
    <w:rsid w:val="00350C8F"/>
    <w:rsid w:val="00350F2E"/>
    <w:rsid w:val="00350F35"/>
    <w:rsid w:val="00351114"/>
    <w:rsid w:val="00351144"/>
    <w:rsid w:val="003514B7"/>
    <w:rsid w:val="003514F9"/>
    <w:rsid w:val="0035150E"/>
    <w:rsid w:val="00351514"/>
    <w:rsid w:val="00351610"/>
    <w:rsid w:val="003516F0"/>
    <w:rsid w:val="003516F8"/>
    <w:rsid w:val="0035178B"/>
    <w:rsid w:val="003519DA"/>
    <w:rsid w:val="00351E14"/>
    <w:rsid w:val="00351F12"/>
    <w:rsid w:val="00351F9D"/>
    <w:rsid w:val="00351FB7"/>
    <w:rsid w:val="0035207B"/>
    <w:rsid w:val="0035225C"/>
    <w:rsid w:val="003523AC"/>
    <w:rsid w:val="0035280B"/>
    <w:rsid w:val="00352964"/>
    <w:rsid w:val="00352A42"/>
    <w:rsid w:val="00352ACC"/>
    <w:rsid w:val="00352B8B"/>
    <w:rsid w:val="00352CB3"/>
    <w:rsid w:val="00352E86"/>
    <w:rsid w:val="00353149"/>
    <w:rsid w:val="003531FE"/>
    <w:rsid w:val="00353203"/>
    <w:rsid w:val="003533CC"/>
    <w:rsid w:val="00353724"/>
    <w:rsid w:val="00353A07"/>
    <w:rsid w:val="00353EAF"/>
    <w:rsid w:val="0035402C"/>
    <w:rsid w:val="00354090"/>
    <w:rsid w:val="0035411B"/>
    <w:rsid w:val="00354246"/>
    <w:rsid w:val="00354251"/>
    <w:rsid w:val="00354289"/>
    <w:rsid w:val="0035486E"/>
    <w:rsid w:val="00354A6C"/>
    <w:rsid w:val="00354E69"/>
    <w:rsid w:val="0035536F"/>
    <w:rsid w:val="003555C7"/>
    <w:rsid w:val="003555D6"/>
    <w:rsid w:val="003555FF"/>
    <w:rsid w:val="0035594A"/>
    <w:rsid w:val="00355C64"/>
    <w:rsid w:val="00355DBD"/>
    <w:rsid w:val="00355E9E"/>
    <w:rsid w:val="0035638F"/>
    <w:rsid w:val="003565D2"/>
    <w:rsid w:val="00356734"/>
    <w:rsid w:val="0035678E"/>
    <w:rsid w:val="003567CE"/>
    <w:rsid w:val="00356875"/>
    <w:rsid w:val="00356935"/>
    <w:rsid w:val="00356980"/>
    <w:rsid w:val="00356AFF"/>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C96"/>
    <w:rsid w:val="00360D8D"/>
    <w:rsid w:val="00360E91"/>
    <w:rsid w:val="00360F74"/>
    <w:rsid w:val="00361230"/>
    <w:rsid w:val="003612CD"/>
    <w:rsid w:val="00361433"/>
    <w:rsid w:val="003614EA"/>
    <w:rsid w:val="0036163B"/>
    <w:rsid w:val="003616F4"/>
    <w:rsid w:val="00361787"/>
    <w:rsid w:val="0036181A"/>
    <w:rsid w:val="00361821"/>
    <w:rsid w:val="00361B48"/>
    <w:rsid w:val="00361C83"/>
    <w:rsid w:val="00361D99"/>
    <w:rsid w:val="00361DF6"/>
    <w:rsid w:val="00361F7E"/>
    <w:rsid w:val="00362498"/>
    <w:rsid w:val="003625BB"/>
    <w:rsid w:val="00362C14"/>
    <w:rsid w:val="00362D8C"/>
    <w:rsid w:val="00362E10"/>
    <w:rsid w:val="003630CE"/>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BA9"/>
    <w:rsid w:val="00367DF8"/>
    <w:rsid w:val="00367E03"/>
    <w:rsid w:val="00370093"/>
    <w:rsid w:val="003700EA"/>
    <w:rsid w:val="00370155"/>
    <w:rsid w:val="003702C3"/>
    <w:rsid w:val="0037038C"/>
    <w:rsid w:val="0037076D"/>
    <w:rsid w:val="00370967"/>
    <w:rsid w:val="00370BA0"/>
    <w:rsid w:val="00370BB6"/>
    <w:rsid w:val="00370BDD"/>
    <w:rsid w:val="00370F26"/>
    <w:rsid w:val="003711CC"/>
    <w:rsid w:val="00371233"/>
    <w:rsid w:val="003712CE"/>
    <w:rsid w:val="00371924"/>
    <w:rsid w:val="00371AF2"/>
    <w:rsid w:val="00371CA8"/>
    <w:rsid w:val="00371DDB"/>
    <w:rsid w:val="003721DE"/>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891"/>
    <w:rsid w:val="003738FA"/>
    <w:rsid w:val="00373B7A"/>
    <w:rsid w:val="00373C40"/>
    <w:rsid w:val="00373DA4"/>
    <w:rsid w:val="00373E7F"/>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277"/>
    <w:rsid w:val="0037641A"/>
    <w:rsid w:val="00376625"/>
    <w:rsid w:val="003766FE"/>
    <w:rsid w:val="0037684C"/>
    <w:rsid w:val="00376B79"/>
    <w:rsid w:val="00376E5D"/>
    <w:rsid w:val="00376F32"/>
    <w:rsid w:val="00377175"/>
    <w:rsid w:val="003772FA"/>
    <w:rsid w:val="0037749C"/>
    <w:rsid w:val="00377639"/>
    <w:rsid w:val="003776F8"/>
    <w:rsid w:val="003777E3"/>
    <w:rsid w:val="00377943"/>
    <w:rsid w:val="00377A82"/>
    <w:rsid w:val="00377AA1"/>
    <w:rsid w:val="00377CB1"/>
    <w:rsid w:val="00377D1B"/>
    <w:rsid w:val="003801A3"/>
    <w:rsid w:val="003801C4"/>
    <w:rsid w:val="003803C2"/>
    <w:rsid w:val="0038050D"/>
    <w:rsid w:val="0038085D"/>
    <w:rsid w:val="003808B6"/>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48"/>
    <w:rsid w:val="00383462"/>
    <w:rsid w:val="003836C8"/>
    <w:rsid w:val="00383771"/>
    <w:rsid w:val="00383D2B"/>
    <w:rsid w:val="00383D45"/>
    <w:rsid w:val="00384083"/>
    <w:rsid w:val="003840E7"/>
    <w:rsid w:val="0038411E"/>
    <w:rsid w:val="0038420E"/>
    <w:rsid w:val="0038424E"/>
    <w:rsid w:val="003842E7"/>
    <w:rsid w:val="003844F1"/>
    <w:rsid w:val="00384590"/>
    <w:rsid w:val="003848A4"/>
    <w:rsid w:val="00384B69"/>
    <w:rsid w:val="00384C04"/>
    <w:rsid w:val="00384C10"/>
    <w:rsid w:val="00384C9A"/>
    <w:rsid w:val="00384D42"/>
    <w:rsid w:val="00384D8B"/>
    <w:rsid w:val="00384E0B"/>
    <w:rsid w:val="003850EF"/>
    <w:rsid w:val="0038534D"/>
    <w:rsid w:val="00385692"/>
    <w:rsid w:val="00385A45"/>
    <w:rsid w:val="00385CBB"/>
    <w:rsid w:val="00385CCC"/>
    <w:rsid w:val="00385DC7"/>
    <w:rsid w:val="00386001"/>
    <w:rsid w:val="00386099"/>
    <w:rsid w:val="0038636E"/>
    <w:rsid w:val="003864FF"/>
    <w:rsid w:val="003865A9"/>
    <w:rsid w:val="00386826"/>
    <w:rsid w:val="00386882"/>
    <w:rsid w:val="003868D5"/>
    <w:rsid w:val="00386908"/>
    <w:rsid w:val="00386B88"/>
    <w:rsid w:val="00386BA5"/>
    <w:rsid w:val="00386CA8"/>
    <w:rsid w:val="00386DB1"/>
    <w:rsid w:val="00386EA3"/>
    <w:rsid w:val="00387260"/>
    <w:rsid w:val="00387613"/>
    <w:rsid w:val="00387A37"/>
    <w:rsid w:val="00387DAC"/>
    <w:rsid w:val="00387F0B"/>
    <w:rsid w:val="00387F2F"/>
    <w:rsid w:val="00387FB5"/>
    <w:rsid w:val="0039002E"/>
    <w:rsid w:val="003904C1"/>
    <w:rsid w:val="00390A2C"/>
    <w:rsid w:val="00390C2F"/>
    <w:rsid w:val="00390E6F"/>
    <w:rsid w:val="00390FB3"/>
    <w:rsid w:val="00391151"/>
    <w:rsid w:val="003911A0"/>
    <w:rsid w:val="00391252"/>
    <w:rsid w:val="00391303"/>
    <w:rsid w:val="00391553"/>
    <w:rsid w:val="003916AA"/>
    <w:rsid w:val="0039184E"/>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4BE"/>
    <w:rsid w:val="00395573"/>
    <w:rsid w:val="00395592"/>
    <w:rsid w:val="003955BA"/>
    <w:rsid w:val="003956ED"/>
    <w:rsid w:val="00395983"/>
    <w:rsid w:val="003959CE"/>
    <w:rsid w:val="003959D5"/>
    <w:rsid w:val="00395ACB"/>
    <w:rsid w:val="00395CD9"/>
    <w:rsid w:val="00395E05"/>
    <w:rsid w:val="0039610B"/>
    <w:rsid w:val="0039614F"/>
    <w:rsid w:val="003962B8"/>
    <w:rsid w:val="00396657"/>
    <w:rsid w:val="0039682A"/>
    <w:rsid w:val="0039682E"/>
    <w:rsid w:val="00396873"/>
    <w:rsid w:val="003969E6"/>
    <w:rsid w:val="003969FC"/>
    <w:rsid w:val="00396BED"/>
    <w:rsid w:val="00396D80"/>
    <w:rsid w:val="00396FDF"/>
    <w:rsid w:val="0039737C"/>
    <w:rsid w:val="0039788B"/>
    <w:rsid w:val="00397AB6"/>
    <w:rsid w:val="00397B22"/>
    <w:rsid w:val="00397C07"/>
    <w:rsid w:val="00397C70"/>
    <w:rsid w:val="00397C87"/>
    <w:rsid w:val="00397D4F"/>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D0"/>
    <w:rsid w:val="003A2C22"/>
    <w:rsid w:val="003A2C59"/>
    <w:rsid w:val="003A2DDF"/>
    <w:rsid w:val="003A2F05"/>
    <w:rsid w:val="003A2F18"/>
    <w:rsid w:val="003A2FB0"/>
    <w:rsid w:val="003A3187"/>
    <w:rsid w:val="003A328D"/>
    <w:rsid w:val="003A3457"/>
    <w:rsid w:val="003A3552"/>
    <w:rsid w:val="003A36F6"/>
    <w:rsid w:val="003A384F"/>
    <w:rsid w:val="003A3F43"/>
    <w:rsid w:val="003A3FEE"/>
    <w:rsid w:val="003A4354"/>
    <w:rsid w:val="003A43F1"/>
    <w:rsid w:val="003A4436"/>
    <w:rsid w:val="003A456D"/>
    <w:rsid w:val="003A4575"/>
    <w:rsid w:val="003A45E0"/>
    <w:rsid w:val="003A4673"/>
    <w:rsid w:val="003A47B2"/>
    <w:rsid w:val="003A4A08"/>
    <w:rsid w:val="003A4A44"/>
    <w:rsid w:val="003A4A47"/>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3"/>
    <w:rsid w:val="003A6217"/>
    <w:rsid w:val="003A65B2"/>
    <w:rsid w:val="003A65C3"/>
    <w:rsid w:val="003A6792"/>
    <w:rsid w:val="003A679E"/>
    <w:rsid w:val="003A6844"/>
    <w:rsid w:val="003A68F2"/>
    <w:rsid w:val="003A6933"/>
    <w:rsid w:val="003A6936"/>
    <w:rsid w:val="003A6BE7"/>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A7"/>
    <w:rsid w:val="003B152C"/>
    <w:rsid w:val="003B15EE"/>
    <w:rsid w:val="003B1640"/>
    <w:rsid w:val="003B175F"/>
    <w:rsid w:val="003B1775"/>
    <w:rsid w:val="003B1894"/>
    <w:rsid w:val="003B18CC"/>
    <w:rsid w:val="003B1A44"/>
    <w:rsid w:val="003B1E46"/>
    <w:rsid w:val="003B20B4"/>
    <w:rsid w:val="003B2356"/>
    <w:rsid w:val="003B242F"/>
    <w:rsid w:val="003B2516"/>
    <w:rsid w:val="003B25B5"/>
    <w:rsid w:val="003B27E3"/>
    <w:rsid w:val="003B27E5"/>
    <w:rsid w:val="003B2C96"/>
    <w:rsid w:val="003B2D4E"/>
    <w:rsid w:val="003B2D6D"/>
    <w:rsid w:val="003B328A"/>
    <w:rsid w:val="003B33B1"/>
    <w:rsid w:val="003B37F4"/>
    <w:rsid w:val="003B39FB"/>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955"/>
    <w:rsid w:val="003C0A80"/>
    <w:rsid w:val="003C0BF5"/>
    <w:rsid w:val="003C10E0"/>
    <w:rsid w:val="003C1147"/>
    <w:rsid w:val="003C11E0"/>
    <w:rsid w:val="003C12B6"/>
    <w:rsid w:val="003C12C7"/>
    <w:rsid w:val="003C13C8"/>
    <w:rsid w:val="003C13EB"/>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B6E"/>
    <w:rsid w:val="003C2CDE"/>
    <w:rsid w:val="003C2DAF"/>
    <w:rsid w:val="003C2F98"/>
    <w:rsid w:val="003C3001"/>
    <w:rsid w:val="003C3132"/>
    <w:rsid w:val="003C31D2"/>
    <w:rsid w:val="003C32A2"/>
    <w:rsid w:val="003C33A3"/>
    <w:rsid w:val="003C33AD"/>
    <w:rsid w:val="003C344B"/>
    <w:rsid w:val="003C3910"/>
    <w:rsid w:val="003C3958"/>
    <w:rsid w:val="003C3993"/>
    <w:rsid w:val="003C3EC3"/>
    <w:rsid w:val="003C4141"/>
    <w:rsid w:val="003C42E1"/>
    <w:rsid w:val="003C4323"/>
    <w:rsid w:val="003C460F"/>
    <w:rsid w:val="003C46F1"/>
    <w:rsid w:val="003C485C"/>
    <w:rsid w:val="003C4AA7"/>
    <w:rsid w:val="003C529C"/>
    <w:rsid w:val="003C52A0"/>
    <w:rsid w:val="003C5488"/>
    <w:rsid w:val="003C548C"/>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1C"/>
    <w:rsid w:val="003C6696"/>
    <w:rsid w:val="003C6709"/>
    <w:rsid w:val="003C672D"/>
    <w:rsid w:val="003C68C7"/>
    <w:rsid w:val="003C68DC"/>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6D"/>
    <w:rsid w:val="003D02E9"/>
    <w:rsid w:val="003D0820"/>
    <w:rsid w:val="003D08C1"/>
    <w:rsid w:val="003D09E8"/>
    <w:rsid w:val="003D0ACD"/>
    <w:rsid w:val="003D0D72"/>
    <w:rsid w:val="003D0F88"/>
    <w:rsid w:val="003D107C"/>
    <w:rsid w:val="003D10D5"/>
    <w:rsid w:val="003D1515"/>
    <w:rsid w:val="003D1AC5"/>
    <w:rsid w:val="003D1D55"/>
    <w:rsid w:val="003D1D7A"/>
    <w:rsid w:val="003D1DEA"/>
    <w:rsid w:val="003D24AA"/>
    <w:rsid w:val="003D2759"/>
    <w:rsid w:val="003D27A4"/>
    <w:rsid w:val="003D29AD"/>
    <w:rsid w:val="003D2C9C"/>
    <w:rsid w:val="003D2DC9"/>
    <w:rsid w:val="003D325C"/>
    <w:rsid w:val="003D327A"/>
    <w:rsid w:val="003D33C7"/>
    <w:rsid w:val="003D354D"/>
    <w:rsid w:val="003D368B"/>
    <w:rsid w:val="003D384F"/>
    <w:rsid w:val="003D38BB"/>
    <w:rsid w:val="003D3A7D"/>
    <w:rsid w:val="003D3E21"/>
    <w:rsid w:val="003D4190"/>
    <w:rsid w:val="003D44E5"/>
    <w:rsid w:val="003D4531"/>
    <w:rsid w:val="003D49E1"/>
    <w:rsid w:val="003D4C0E"/>
    <w:rsid w:val="003D4C81"/>
    <w:rsid w:val="003D4E3D"/>
    <w:rsid w:val="003D4F83"/>
    <w:rsid w:val="003D5455"/>
    <w:rsid w:val="003D56A2"/>
    <w:rsid w:val="003D5854"/>
    <w:rsid w:val="003D5935"/>
    <w:rsid w:val="003D59A5"/>
    <w:rsid w:val="003D5A3E"/>
    <w:rsid w:val="003D5C6D"/>
    <w:rsid w:val="003D5D38"/>
    <w:rsid w:val="003D5E15"/>
    <w:rsid w:val="003D6045"/>
    <w:rsid w:val="003D605C"/>
    <w:rsid w:val="003D6092"/>
    <w:rsid w:val="003D60A5"/>
    <w:rsid w:val="003D65E8"/>
    <w:rsid w:val="003D69B7"/>
    <w:rsid w:val="003D69CD"/>
    <w:rsid w:val="003D6C59"/>
    <w:rsid w:val="003D6E47"/>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D9"/>
    <w:rsid w:val="003E0360"/>
    <w:rsid w:val="003E0470"/>
    <w:rsid w:val="003E04B3"/>
    <w:rsid w:val="003E06CB"/>
    <w:rsid w:val="003E0A5B"/>
    <w:rsid w:val="003E0A5D"/>
    <w:rsid w:val="003E0C44"/>
    <w:rsid w:val="003E0D12"/>
    <w:rsid w:val="003E0D81"/>
    <w:rsid w:val="003E0DCE"/>
    <w:rsid w:val="003E0F2A"/>
    <w:rsid w:val="003E1145"/>
    <w:rsid w:val="003E11AF"/>
    <w:rsid w:val="003E145C"/>
    <w:rsid w:val="003E14DD"/>
    <w:rsid w:val="003E14E3"/>
    <w:rsid w:val="003E15B2"/>
    <w:rsid w:val="003E16E5"/>
    <w:rsid w:val="003E1768"/>
    <w:rsid w:val="003E18D7"/>
    <w:rsid w:val="003E1A8C"/>
    <w:rsid w:val="003E1C0E"/>
    <w:rsid w:val="003E1E1E"/>
    <w:rsid w:val="003E225A"/>
    <w:rsid w:val="003E24C5"/>
    <w:rsid w:val="003E264E"/>
    <w:rsid w:val="003E285E"/>
    <w:rsid w:val="003E290D"/>
    <w:rsid w:val="003E29CF"/>
    <w:rsid w:val="003E2D24"/>
    <w:rsid w:val="003E2F73"/>
    <w:rsid w:val="003E318D"/>
    <w:rsid w:val="003E32F5"/>
    <w:rsid w:val="003E3389"/>
    <w:rsid w:val="003E3479"/>
    <w:rsid w:val="003E34B5"/>
    <w:rsid w:val="003E3653"/>
    <w:rsid w:val="003E38F9"/>
    <w:rsid w:val="003E39CF"/>
    <w:rsid w:val="003E3BB4"/>
    <w:rsid w:val="003E3D3B"/>
    <w:rsid w:val="003E4166"/>
    <w:rsid w:val="003E4611"/>
    <w:rsid w:val="003E47D9"/>
    <w:rsid w:val="003E48A6"/>
    <w:rsid w:val="003E48BF"/>
    <w:rsid w:val="003E4ABB"/>
    <w:rsid w:val="003E52DD"/>
    <w:rsid w:val="003E5381"/>
    <w:rsid w:val="003E551F"/>
    <w:rsid w:val="003E574E"/>
    <w:rsid w:val="003E57D9"/>
    <w:rsid w:val="003E5859"/>
    <w:rsid w:val="003E5886"/>
    <w:rsid w:val="003E5C52"/>
    <w:rsid w:val="003E5D48"/>
    <w:rsid w:val="003E5E54"/>
    <w:rsid w:val="003E5FD6"/>
    <w:rsid w:val="003E6221"/>
    <w:rsid w:val="003E6321"/>
    <w:rsid w:val="003E6471"/>
    <w:rsid w:val="003E65BA"/>
    <w:rsid w:val="003E683B"/>
    <w:rsid w:val="003E68B9"/>
    <w:rsid w:val="003E6CD5"/>
    <w:rsid w:val="003E6CEB"/>
    <w:rsid w:val="003E6CF1"/>
    <w:rsid w:val="003E6E9C"/>
    <w:rsid w:val="003E7077"/>
    <w:rsid w:val="003E71B5"/>
    <w:rsid w:val="003E7495"/>
    <w:rsid w:val="003E75D5"/>
    <w:rsid w:val="003E76CB"/>
    <w:rsid w:val="003E77CF"/>
    <w:rsid w:val="003E78F1"/>
    <w:rsid w:val="003E790E"/>
    <w:rsid w:val="003E7C69"/>
    <w:rsid w:val="003E7DA4"/>
    <w:rsid w:val="003E7DE2"/>
    <w:rsid w:val="003E7E1F"/>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FBA"/>
    <w:rsid w:val="003F203C"/>
    <w:rsid w:val="003F2276"/>
    <w:rsid w:val="003F2355"/>
    <w:rsid w:val="003F26FC"/>
    <w:rsid w:val="003F281E"/>
    <w:rsid w:val="003F28B1"/>
    <w:rsid w:val="003F2A54"/>
    <w:rsid w:val="003F2B53"/>
    <w:rsid w:val="003F2E21"/>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E2"/>
    <w:rsid w:val="003F4DA9"/>
    <w:rsid w:val="003F4DDE"/>
    <w:rsid w:val="003F5319"/>
    <w:rsid w:val="003F5412"/>
    <w:rsid w:val="003F576B"/>
    <w:rsid w:val="003F57DE"/>
    <w:rsid w:val="003F58BA"/>
    <w:rsid w:val="003F5BEC"/>
    <w:rsid w:val="003F5BF6"/>
    <w:rsid w:val="003F5D30"/>
    <w:rsid w:val="003F5E2E"/>
    <w:rsid w:val="003F5EB6"/>
    <w:rsid w:val="003F648D"/>
    <w:rsid w:val="003F67F2"/>
    <w:rsid w:val="003F6CCA"/>
    <w:rsid w:val="003F6EC1"/>
    <w:rsid w:val="003F7107"/>
    <w:rsid w:val="003F74E9"/>
    <w:rsid w:val="003F7717"/>
    <w:rsid w:val="003F777A"/>
    <w:rsid w:val="003F7902"/>
    <w:rsid w:val="003F7AE5"/>
    <w:rsid w:val="003F7CDF"/>
    <w:rsid w:val="003F7E03"/>
    <w:rsid w:val="003F7FC0"/>
    <w:rsid w:val="003F7FDA"/>
    <w:rsid w:val="00400097"/>
    <w:rsid w:val="00400362"/>
    <w:rsid w:val="004003B0"/>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5AA"/>
    <w:rsid w:val="004055DE"/>
    <w:rsid w:val="00405603"/>
    <w:rsid w:val="00405615"/>
    <w:rsid w:val="00405727"/>
    <w:rsid w:val="004057C3"/>
    <w:rsid w:val="00405A68"/>
    <w:rsid w:val="00405B8A"/>
    <w:rsid w:val="00405F25"/>
    <w:rsid w:val="00405F2B"/>
    <w:rsid w:val="00405F72"/>
    <w:rsid w:val="004061E9"/>
    <w:rsid w:val="0040629F"/>
    <w:rsid w:val="00406309"/>
    <w:rsid w:val="00406428"/>
    <w:rsid w:val="004065DB"/>
    <w:rsid w:val="004065E9"/>
    <w:rsid w:val="0040663E"/>
    <w:rsid w:val="00406706"/>
    <w:rsid w:val="004068D1"/>
    <w:rsid w:val="00406CB7"/>
    <w:rsid w:val="00406CFF"/>
    <w:rsid w:val="00406D89"/>
    <w:rsid w:val="00406E39"/>
    <w:rsid w:val="00406FCF"/>
    <w:rsid w:val="004070C5"/>
    <w:rsid w:val="0040720D"/>
    <w:rsid w:val="004074FF"/>
    <w:rsid w:val="00407596"/>
    <w:rsid w:val="004075DC"/>
    <w:rsid w:val="004079DD"/>
    <w:rsid w:val="004079EE"/>
    <w:rsid w:val="00407CBD"/>
    <w:rsid w:val="00407DDB"/>
    <w:rsid w:val="00410017"/>
    <w:rsid w:val="00410224"/>
    <w:rsid w:val="00410365"/>
    <w:rsid w:val="00410513"/>
    <w:rsid w:val="00410588"/>
    <w:rsid w:val="004107CB"/>
    <w:rsid w:val="00410A6E"/>
    <w:rsid w:val="00410E28"/>
    <w:rsid w:val="00410E8D"/>
    <w:rsid w:val="00410F2B"/>
    <w:rsid w:val="0041104D"/>
    <w:rsid w:val="00411323"/>
    <w:rsid w:val="004116AE"/>
    <w:rsid w:val="00411731"/>
    <w:rsid w:val="004117D2"/>
    <w:rsid w:val="004119B1"/>
    <w:rsid w:val="00411A0E"/>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FC"/>
    <w:rsid w:val="00413039"/>
    <w:rsid w:val="0041310A"/>
    <w:rsid w:val="00413575"/>
    <w:rsid w:val="004135F0"/>
    <w:rsid w:val="004137FD"/>
    <w:rsid w:val="0041389E"/>
    <w:rsid w:val="004138B4"/>
    <w:rsid w:val="00413926"/>
    <w:rsid w:val="00413B55"/>
    <w:rsid w:val="00413E77"/>
    <w:rsid w:val="00414073"/>
    <w:rsid w:val="004142CB"/>
    <w:rsid w:val="00414481"/>
    <w:rsid w:val="0041474A"/>
    <w:rsid w:val="0041479E"/>
    <w:rsid w:val="00414AEC"/>
    <w:rsid w:val="0041503C"/>
    <w:rsid w:val="00415445"/>
    <w:rsid w:val="00415554"/>
    <w:rsid w:val="00415653"/>
    <w:rsid w:val="00415878"/>
    <w:rsid w:val="004158DC"/>
    <w:rsid w:val="00415E6F"/>
    <w:rsid w:val="00415FFD"/>
    <w:rsid w:val="0041602A"/>
    <w:rsid w:val="00416157"/>
    <w:rsid w:val="0041620F"/>
    <w:rsid w:val="00416393"/>
    <w:rsid w:val="0041655F"/>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2B62"/>
    <w:rsid w:val="00422BF4"/>
    <w:rsid w:val="0042313D"/>
    <w:rsid w:val="00423315"/>
    <w:rsid w:val="004234F2"/>
    <w:rsid w:val="00423592"/>
    <w:rsid w:val="004235BA"/>
    <w:rsid w:val="004236D1"/>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DA"/>
    <w:rsid w:val="004252DD"/>
    <w:rsid w:val="004253EF"/>
    <w:rsid w:val="004254E3"/>
    <w:rsid w:val="00425ADC"/>
    <w:rsid w:val="00425F82"/>
    <w:rsid w:val="00426211"/>
    <w:rsid w:val="00426228"/>
    <w:rsid w:val="004262DC"/>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3031B"/>
    <w:rsid w:val="0043059C"/>
    <w:rsid w:val="00430617"/>
    <w:rsid w:val="0043071B"/>
    <w:rsid w:val="004307EB"/>
    <w:rsid w:val="00430BB4"/>
    <w:rsid w:val="00430C49"/>
    <w:rsid w:val="0043107A"/>
    <w:rsid w:val="004310B1"/>
    <w:rsid w:val="004310BB"/>
    <w:rsid w:val="00431238"/>
    <w:rsid w:val="00431657"/>
    <w:rsid w:val="004317EB"/>
    <w:rsid w:val="00431CA2"/>
    <w:rsid w:val="00431CC5"/>
    <w:rsid w:val="00431DD8"/>
    <w:rsid w:val="00431E06"/>
    <w:rsid w:val="00431EBE"/>
    <w:rsid w:val="00432012"/>
    <w:rsid w:val="004323E4"/>
    <w:rsid w:val="004323EA"/>
    <w:rsid w:val="004325BE"/>
    <w:rsid w:val="004326AB"/>
    <w:rsid w:val="0043283C"/>
    <w:rsid w:val="0043289F"/>
    <w:rsid w:val="00432ABE"/>
    <w:rsid w:val="00432C70"/>
    <w:rsid w:val="00432C84"/>
    <w:rsid w:val="00432CD6"/>
    <w:rsid w:val="00432EE5"/>
    <w:rsid w:val="00432EF2"/>
    <w:rsid w:val="00432F05"/>
    <w:rsid w:val="00432FE3"/>
    <w:rsid w:val="004330A7"/>
    <w:rsid w:val="004333AB"/>
    <w:rsid w:val="00433461"/>
    <w:rsid w:val="004335A8"/>
    <w:rsid w:val="0043365C"/>
    <w:rsid w:val="0043373F"/>
    <w:rsid w:val="0043378D"/>
    <w:rsid w:val="00433804"/>
    <w:rsid w:val="00433B8A"/>
    <w:rsid w:val="0043427D"/>
    <w:rsid w:val="004343CB"/>
    <w:rsid w:val="004345AF"/>
    <w:rsid w:val="00434A27"/>
    <w:rsid w:val="00434ABA"/>
    <w:rsid w:val="00434B71"/>
    <w:rsid w:val="00434D70"/>
    <w:rsid w:val="00434D7C"/>
    <w:rsid w:val="004352BD"/>
    <w:rsid w:val="004353CB"/>
    <w:rsid w:val="0043565B"/>
    <w:rsid w:val="0043580D"/>
    <w:rsid w:val="00435919"/>
    <w:rsid w:val="00435992"/>
    <w:rsid w:val="00435D70"/>
    <w:rsid w:val="00435EFE"/>
    <w:rsid w:val="00436159"/>
    <w:rsid w:val="004361C8"/>
    <w:rsid w:val="004363CC"/>
    <w:rsid w:val="00436423"/>
    <w:rsid w:val="00436960"/>
    <w:rsid w:val="00436CCF"/>
    <w:rsid w:val="00436DFF"/>
    <w:rsid w:val="00436EFB"/>
    <w:rsid w:val="00436FFC"/>
    <w:rsid w:val="004371F3"/>
    <w:rsid w:val="00437211"/>
    <w:rsid w:val="004374A4"/>
    <w:rsid w:val="004374DC"/>
    <w:rsid w:val="0043750D"/>
    <w:rsid w:val="00437680"/>
    <w:rsid w:val="00437826"/>
    <w:rsid w:val="004378ED"/>
    <w:rsid w:val="00437AEB"/>
    <w:rsid w:val="00437B15"/>
    <w:rsid w:val="00437C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0FA3"/>
    <w:rsid w:val="00440FCB"/>
    <w:rsid w:val="00441141"/>
    <w:rsid w:val="00441277"/>
    <w:rsid w:val="004412B4"/>
    <w:rsid w:val="004412D7"/>
    <w:rsid w:val="00441373"/>
    <w:rsid w:val="004414A9"/>
    <w:rsid w:val="004418E9"/>
    <w:rsid w:val="00441A0D"/>
    <w:rsid w:val="00441A2F"/>
    <w:rsid w:val="00441A72"/>
    <w:rsid w:val="00441B06"/>
    <w:rsid w:val="00441D79"/>
    <w:rsid w:val="00441E07"/>
    <w:rsid w:val="00442021"/>
    <w:rsid w:val="00442456"/>
    <w:rsid w:val="00442532"/>
    <w:rsid w:val="00442892"/>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D0"/>
    <w:rsid w:val="00444F7E"/>
    <w:rsid w:val="00445014"/>
    <w:rsid w:val="004451C0"/>
    <w:rsid w:val="0044525F"/>
    <w:rsid w:val="004455E6"/>
    <w:rsid w:val="00445989"/>
    <w:rsid w:val="00445ADB"/>
    <w:rsid w:val="00445BFD"/>
    <w:rsid w:val="00445D3B"/>
    <w:rsid w:val="0044625E"/>
    <w:rsid w:val="004464BF"/>
    <w:rsid w:val="004466E4"/>
    <w:rsid w:val="0044691E"/>
    <w:rsid w:val="00446CE7"/>
    <w:rsid w:val="00446E91"/>
    <w:rsid w:val="00446EC5"/>
    <w:rsid w:val="00446F71"/>
    <w:rsid w:val="0044719F"/>
    <w:rsid w:val="00447231"/>
    <w:rsid w:val="004473F5"/>
    <w:rsid w:val="0044770B"/>
    <w:rsid w:val="00447763"/>
    <w:rsid w:val="004479CB"/>
    <w:rsid w:val="00447B44"/>
    <w:rsid w:val="00447CB3"/>
    <w:rsid w:val="00447DFC"/>
    <w:rsid w:val="00447FFD"/>
    <w:rsid w:val="00450159"/>
    <w:rsid w:val="0045049A"/>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2E"/>
    <w:rsid w:val="004512ED"/>
    <w:rsid w:val="00451324"/>
    <w:rsid w:val="00451354"/>
    <w:rsid w:val="00451382"/>
    <w:rsid w:val="00451A5A"/>
    <w:rsid w:val="00451C94"/>
    <w:rsid w:val="00451FE8"/>
    <w:rsid w:val="0045225A"/>
    <w:rsid w:val="00452271"/>
    <w:rsid w:val="00452323"/>
    <w:rsid w:val="004523BB"/>
    <w:rsid w:val="0045255E"/>
    <w:rsid w:val="0045262F"/>
    <w:rsid w:val="004526A0"/>
    <w:rsid w:val="00452987"/>
    <w:rsid w:val="00452C83"/>
    <w:rsid w:val="00452CF5"/>
    <w:rsid w:val="00452E6D"/>
    <w:rsid w:val="00453109"/>
    <w:rsid w:val="004532D7"/>
    <w:rsid w:val="0045364D"/>
    <w:rsid w:val="0045399E"/>
    <w:rsid w:val="00453DB4"/>
    <w:rsid w:val="00453F3A"/>
    <w:rsid w:val="00453F62"/>
    <w:rsid w:val="00453FE5"/>
    <w:rsid w:val="00454149"/>
    <w:rsid w:val="0045415F"/>
    <w:rsid w:val="00454C30"/>
    <w:rsid w:val="00454CE7"/>
    <w:rsid w:val="00454D86"/>
    <w:rsid w:val="00455009"/>
    <w:rsid w:val="0045515D"/>
    <w:rsid w:val="00455243"/>
    <w:rsid w:val="00455337"/>
    <w:rsid w:val="0045586B"/>
    <w:rsid w:val="00455A14"/>
    <w:rsid w:val="00455D75"/>
    <w:rsid w:val="00455E86"/>
    <w:rsid w:val="00455F04"/>
    <w:rsid w:val="00455F5F"/>
    <w:rsid w:val="00455F6A"/>
    <w:rsid w:val="00456101"/>
    <w:rsid w:val="00456342"/>
    <w:rsid w:val="00456364"/>
    <w:rsid w:val="004563E3"/>
    <w:rsid w:val="004565DC"/>
    <w:rsid w:val="004566D1"/>
    <w:rsid w:val="00456948"/>
    <w:rsid w:val="004569D1"/>
    <w:rsid w:val="004569DA"/>
    <w:rsid w:val="00456A73"/>
    <w:rsid w:val="00456B9B"/>
    <w:rsid w:val="00456CFB"/>
    <w:rsid w:val="00456E33"/>
    <w:rsid w:val="0045712A"/>
    <w:rsid w:val="004574F7"/>
    <w:rsid w:val="00457580"/>
    <w:rsid w:val="004575E6"/>
    <w:rsid w:val="00457857"/>
    <w:rsid w:val="00457A26"/>
    <w:rsid w:val="00457BF2"/>
    <w:rsid w:val="00457EDC"/>
    <w:rsid w:val="00457F3F"/>
    <w:rsid w:val="004601BD"/>
    <w:rsid w:val="00460383"/>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F5"/>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D7"/>
    <w:rsid w:val="00463565"/>
    <w:rsid w:val="0046366E"/>
    <w:rsid w:val="0046371F"/>
    <w:rsid w:val="00463779"/>
    <w:rsid w:val="00463891"/>
    <w:rsid w:val="00463A94"/>
    <w:rsid w:val="00463D8B"/>
    <w:rsid w:val="00463E5A"/>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30"/>
    <w:rsid w:val="00465A68"/>
    <w:rsid w:val="00465A75"/>
    <w:rsid w:val="00465EFF"/>
    <w:rsid w:val="004661BA"/>
    <w:rsid w:val="004662D9"/>
    <w:rsid w:val="0046680E"/>
    <w:rsid w:val="00466855"/>
    <w:rsid w:val="00466DF9"/>
    <w:rsid w:val="00466E96"/>
    <w:rsid w:val="00466F27"/>
    <w:rsid w:val="004670DA"/>
    <w:rsid w:val="00467202"/>
    <w:rsid w:val="004675A6"/>
    <w:rsid w:val="004675C1"/>
    <w:rsid w:val="0046789A"/>
    <w:rsid w:val="00467B18"/>
    <w:rsid w:val="00467C0E"/>
    <w:rsid w:val="00467D15"/>
    <w:rsid w:val="00467E4E"/>
    <w:rsid w:val="00467F0D"/>
    <w:rsid w:val="00467F29"/>
    <w:rsid w:val="00470002"/>
    <w:rsid w:val="0047018C"/>
    <w:rsid w:val="0047019F"/>
    <w:rsid w:val="0047020F"/>
    <w:rsid w:val="004708E1"/>
    <w:rsid w:val="00470924"/>
    <w:rsid w:val="0047097F"/>
    <w:rsid w:val="00470A02"/>
    <w:rsid w:val="00470BA1"/>
    <w:rsid w:val="00470D94"/>
    <w:rsid w:val="00470F04"/>
    <w:rsid w:val="0047102A"/>
    <w:rsid w:val="0047103C"/>
    <w:rsid w:val="004711AD"/>
    <w:rsid w:val="00471454"/>
    <w:rsid w:val="0047155C"/>
    <w:rsid w:val="00471568"/>
    <w:rsid w:val="004715E9"/>
    <w:rsid w:val="00471954"/>
    <w:rsid w:val="00471ACA"/>
    <w:rsid w:val="00471C02"/>
    <w:rsid w:val="00471C14"/>
    <w:rsid w:val="00471D1C"/>
    <w:rsid w:val="00471DA8"/>
    <w:rsid w:val="00471E6F"/>
    <w:rsid w:val="004720BD"/>
    <w:rsid w:val="00472270"/>
    <w:rsid w:val="00472277"/>
    <w:rsid w:val="00472292"/>
    <w:rsid w:val="00472606"/>
    <w:rsid w:val="0047273F"/>
    <w:rsid w:val="00472776"/>
    <w:rsid w:val="00472ADC"/>
    <w:rsid w:val="00472F10"/>
    <w:rsid w:val="00472F13"/>
    <w:rsid w:val="00472F7B"/>
    <w:rsid w:val="00472FCB"/>
    <w:rsid w:val="004732E0"/>
    <w:rsid w:val="00473364"/>
    <w:rsid w:val="004734CD"/>
    <w:rsid w:val="004734FD"/>
    <w:rsid w:val="00473813"/>
    <w:rsid w:val="0047395A"/>
    <w:rsid w:val="00473B30"/>
    <w:rsid w:val="00473BA2"/>
    <w:rsid w:val="00473BBD"/>
    <w:rsid w:val="00473C74"/>
    <w:rsid w:val="00473C87"/>
    <w:rsid w:val="00473CF1"/>
    <w:rsid w:val="00473EC1"/>
    <w:rsid w:val="00473FCE"/>
    <w:rsid w:val="00474304"/>
    <w:rsid w:val="00474574"/>
    <w:rsid w:val="004748E9"/>
    <w:rsid w:val="00474B9F"/>
    <w:rsid w:val="00474C58"/>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858"/>
    <w:rsid w:val="0047698A"/>
    <w:rsid w:val="00476A9E"/>
    <w:rsid w:val="00476ADB"/>
    <w:rsid w:val="00476BB9"/>
    <w:rsid w:val="00476D4D"/>
    <w:rsid w:val="00476F3F"/>
    <w:rsid w:val="00476FBA"/>
    <w:rsid w:val="0047715D"/>
    <w:rsid w:val="004771B0"/>
    <w:rsid w:val="004772BA"/>
    <w:rsid w:val="00477327"/>
    <w:rsid w:val="0047741C"/>
    <w:rsid w:val="00477427"/>
    <w:rsid w:val="004775C4"/>
    <w:rsid w:val="004776C9"/>
    <w:rsid w:val="004776E8"/>
    <w:rsid w:val="00477818"/>
    <w:rsid w:val="00477831"/>
    <w:rsid w:val="00477898"/>
    <w:rsid w:val="004778BE"/>
    <w:rsid w:val="00477AF0"/>
    <w:rsid w:val="00477D81"/>
    <w:rsid w:val="00477D8C"/>
    <w:rsid w:val="00477DB0"/>
    <w:rsid w:val="004800CE"/>
    <w:rsid w:val="004803B7"/>
    <w:rsid w:val="0048055D"/>
    <w:rsid w:val="0048059B"/>
    <w:rsid w:val="00480ABA"/>
    <w:rsid w:val="00480D64"/>
    <w:rsid w:val="00480F68"/>
    <w:rsid w:val="004811F3"/>
    <w:rsid w:val="00481218"/>
    <w:rsid w:val="00481378"/>
    <w:rsid w:val="004813F4"/>
    <w:rsid w:val="004815A2"/>
    <w:rsid w:val="004815B7"/>
    <w:rsid w:val="00481638"/>
    <w:rsid w:val="0048190B"/>
    <w:rsid w:val="00481A42"/>
    <w:rsid w:val="00481AF4"/>
    <w:rsid w:val="00481B1D"/>
    <w:rsid w:val="00481B63"/>
    <w:rsid w:val="00481C9D"/>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323C"/>
    <w:rsid w:val="00483264"/>
    <w:rsid w:val="00483324"/>
    <w:rsid w:val="0048339B"/>
    <w:rsid w:val="0048347E"/>
    <w:rsid w:val="004836FE"/>
    <w:rsid w:val="00483822"/>
    <w:rsid w:val="00483A69"/>
    <w:rsid w:val="00483D71"/>
    <w:rsid w:val="00483E1D"/>
    <w:rsid w:val="00483F39"/>
    <w:rsid w:val="004840CE"/>
    <w:rsid w:val="004841DE"/>
    <w:rsid w:val="00484357"/>
    <w:rsid w:val="0048439E"/>
    <w:rsid w:val="0048445F"/>
    <w:rsid w:val="00484491"/>
    <w:rsid w:val="004844FC"/>
    <w:rsid w:val="00484537"/>
    <w:rsid w:val="00484539"/>
    <w:rsid w:val="004847B0"/>
    <w:rsid w:val="00484832"/>
    <w:rsid w:val="00484877"/>
    <w:rsid w:val="00484A3D"/>
    <w:rsid w:val="00484AC6"/>
    <w:rsid w:val="00484B75"/>
    <w:rsid w:val="00484CAB"/>
    <w:rsid w:val="00484D34"/>
    <w:rsid w:val="00484F0E"/>
    <w:rsid w:val="00485112"/>
    <w:rsid w:val="0048511E"/>
    <w:rsid w:val="004852DC"/>
    <w:rsid w:val="00485334"/>
    <w:rsid w:val="00485703"/>
    <w:rsid w:val="004857BC"/>
    <w:rsid w:val="00485882"/>
    <w:rsid w:val="00485A38"/>
    <w:rsid w:val="00485ACA"/>
    <w:rsid w:val="00485C51"/>
    <w:rsid w:val="00485EE3"/>
    <w:rsid w:val="00485F32"/>
    <w:rsid w:val="00486058"/>
    <w:rsid w:val="0048614C"/>
    <w:rsid w:val="004861E3"/>
    <w:rsid w:val="0048630A"/>
    <w:rsid w:val="004863E9"/>
    <w:rsid w:val="004864D7"/>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C19"/>
    <w:rsid w:val="00492C3C"/>
    <w:rsid w:val="00492C69"/>
    <w:rsid w:val="00492D0D"/>
    <w:rsid w:val="00492DD1"/>
    <w:rsid w:val="00492EAB"/>
    <w:rsid w:val="00492F98"/>
    <w:rsid w:val="004930C7"/>
    <w:rsid w:val="0049311E"/>
    <w:rsid w:val="00493133"/>
    <w:rsid w:val="00493187"/>
    <w:rsid w:val="00493584"/>
    <w:rsid w:val="0049369F"/>
    <w:rsid w:val="00493ABC"/>
    <w:rsid w:val="00493ACE"/>
    <w:rsid w:val="00493BAB"/>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C61"/>
    <w:rsid w:val="00496CC3"/>
    <w:rsid w:val="00497033"/>
    <w:rsid w:val="00497087"/>
    <w:rsid w:val="00497097"/>
    <w:rsid w:val="004971D7"/>
    <w:rsid w:val="00497382"/>
    <w:rsid w:val="004973EE"/>
    <w:rsid w:val="004974BB"/>
    <w:rsid w:val="00497556"/>
    <w:rsid w:val="00497764"/>
    <w:rsid w:val="00497961"/>
    <w:rsid w:val="00497979"/>
    <w:rsid w:val="00497ABB"/>
    <w:rsid w:val="00497DF5"/>
    <w:rsid w:val="00497E4D"/>
    <w:rsid w:val="00497EF4"/>
    <w:rsid w:val="00497F4B"/>
    <w:rsid w:val="00497F78"/>
    <w:rsid w:val="004A004D"/>
    <w:rsid w:val="004A0164"/>
    <w:rsid w:val="004A0348"/>
    <w:rsid w:val="004A061A"/>
    <w:rsid w:val="004A0722"/>
    <w:rsid w:val="004A0725"/>
    <w:rsid w:val="004A085C"/>
    <w:rsid w:val="004A0927"/>
    <w:rsid w:val="004A0EAE"/>
    <w:rsid w:val="004A0F8E"/>
    <w:rsid w:val="004A0F92"/>
    <w:rsid w:val="004A110D"/>
    <w:rsid w:val="004A119D"/>
    <w:rsid w:val="004A11C8"/>
    <w:rsid w:val="004A12A4"/>
    <w:rsid w:val="004A1486"/>
    <w:rsid w:val="004A14CC"/>
    <w:rsid w:val="004A153B"/>
    <w:rsid w:val="004A16D0"/>
    <w:rsid w:val="004A1867"/>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731"/>
    <w:rsid w:val="004A473A"/>
    <w:rsid w:val="004A48AD"/>
    <w:rsid w:val="004A492E"/>
    <w:rsid w:val="004A4DD4"/>
    <w:rsid w:val="004A4F25"/>
    <w:rsid w:val="004A4F38"/>
    <w:rsid w:val="004A4FDA"/>
    <w:rsid w:val="004A5202"/>
    <w:rsid w:val="004A5485"/>
    <w:rsid w:val="004A561D"/>
    <w:rsid w:val="004A56A5"/>
    <w:rsid w:val="004A56F9"/>
    <w:rsid w:val="004A57C9"/>
    <w:rsid w:val="004A5DB7"/>
    <w:rsid w:val="004A5E48"/>
    <w:rsid w:val="004A5EF8"/>
    <w:rsid w:val="004A6124"/>
    <w:rsid w:val="004A624E"/>
    <w:rsid w:val="004A633E"/>
    <w:rsid w:val="004A6372"/>
    <w:rsid w:val="004A67EA"/>
    <w:rsid w:val="004A67F8"/>
    <w:rsid w:val="004A6E2E"/>
    <w:rsid w:val="004A6E88"/>
    <w:rsid w:val="004A6EC7"/>
    <w:rsid w:val="004A7393"/>
    <w:rsid w:val="004A73E7"/>
    <w:rsid w:val="004A7681"/>
    <w:rsid w:val="004A780A"/>
    <w:rsid w:val="004A7C5D"/>
    <w:rsid w:val="004A7C9E"/>
    <w:rsid w:val="004A7CED"/>
    <w:rsid w:val="004A7D85"/>
    <w:rsid w:val="004A7DC2"/>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C8B"/>
    <w:rsid w:val="004B1CB8"/>
    <w:rsid w:val="004B1CCB"/>
    <w:rsid w:val="004B1F21"/>
    <w:rsid w:val="004B2673"/>
    <w:rsid w:val="004B273D"/>
    <w:rsid w:val="004B278A"/>
    <w:rsid w:val="004B2A08"/>
    <w:rsid w:val="004B2BC3"/>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64C"/>
    <w:rsid w:val="004B47D4"/>
    <w:rsid w:val="004B493A"/>
    <w:rsid w:val="004B4989"/>
    <w:rsid w:val="004B4F6D"/>
    <w:rsid w:val="004B4FDC"/>
    <w:rsid w:val="004B4FEB"/>
    <w:rsid w:val="004B50CC"/>
    <w:rsid w:val="004B520B"/>
    <w:rsid w:val="004B5279"/>
    <w:rsid w:val="004B529A"/>
    <w:rsid w:val="004B53A5"/>
    <w:rsid w:val="004B5512"/>
    <w:rsid w:val="004B58F4"/>
    <w:rsid w:val="004B5A4E"/>
    <w:rsid w:val="004B5CA7"/>
    <w:rsid w:val="004B5CE2"/>
    <w:rsid w:val="004B610C"/>
    <w:rsid w:val="004B6278"/>
    <w:rsid w:val="004B637D"/>
    <w:rsid w:val="004B64A4"/>
    <w:rsid w:val="004B6644"/>
    <w:rsid w:val="004B67FD"/>
    <w:rsid w:val="004B6959"/>
    <w:rsid w:val="004B6A81"/>
    <w:rsid w:val="004B6C6B"/>
    <w:rsid w:val="004B6F66"/>
    <w:rsid w:val="004B71A8"/>
    <w:rsid w:val="004B723F"/>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A07"/>
    <w:rsid w:val="004C0A5B"/>
    <w:rsid w:val="004C0BC0"/>
    <w:rsid w:val="004C0C6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87"/>
    <w:rsid w:val="004C25CA"/>
    <w:rsid w:val="004C26B3"/>
    <w:rsid w:val="004C26CE"/>
    <w:rsid w:val="004C2899"/>
    <w:rsid w:val="004C2C00"/>
    <w:rsid w:val="004C2DE0"/>
    <w:rsid w:val="004C31A6"/>
    <w:rsid w:val="004C32F8"/>
    <w:rsid w:val="004C3537"/>
    <w:rsid w:val="004C3728"/>
    <w:rsid w:val="004C3950"/>
    <w:rsid w:val="004C3985"/>
    <w:rsid w:val="004C3992"/>
    <w:rsid w:val="004C3AA5"/>
    <w:rsid w:val="004C3C7D"/>
    <w:rsid w:val="004C3D23"/>
    <w:rsid w:val="004C4066"/>
    <w:rsid w:val="004C4459"/>
    <w:rsid w:val="004C44D0"/>
    <w:rsid w:val="004C469C"/>
    <w:rsid w:val="004C47E8"/>
    <w:rsid w:val="004C4913"/>
    <w:rsid w:val="004C49CD"/>
    <w:rsid w:val="004C4B3A"/>
    <w:rsid w:val="004C4BD5"/>
    <w:rsid w:val="004C4D64"/>
    <w:rsid w:val="004C4F74"/>
    <w:rsid w:val="004C5682"/>
    <w:rsid w:val="004C59D7"/>
    <w:rsid w:val="004C5BC0"/>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150"/>
    <w:rsid w:val="004D079D"/>
    <w:rsid w:val="004D07DB"/>
    <w:rsid w:val="004D0965"/>
    <w:rsid w:val="004D0C08"/>
    <w:rsid w:val="004D0C61"/>
    <w:rsid w:val="004D0C8B"/>
    <w:rsid w:val="004D0CC0"/>
    <w:rsid w:val="004D0CEA"/>
    <w:rsid w:val="004D0DA6"/>
    <w:rsid w:val="004D0E36"/>
    <w:rsid w:val="004D0EB8"/>
    <w:rsid w:val="004D0FA1"/>
    <w:rsid w:val="004D0FA5"/>
    <w:rsid w:val="004D12BD"/>
    <w:rsid w:val="004D13EE"/>
    <w:rsid w:val="004D15B9"/>
    <w:rsid w:val="004D15C9"/>
    <w:rsid w:val="004D18F2"/>
    <w:rsid w:val="004D1A65"/>
    <w:rsid w:val="004D1B50"/>
    <w:rsid w:val="004D1F26"/>
    <w:rsid w:val="004D210D"/>
    <w:rsid w:val="004D21A4"/>
    <w:rsid w:val="004D25FF"/>
    <w:rsid w:val="004D2874"/>
    <w:rsid w:val="004D28A3"/>
    <w:rsid w:val="004D2B12"/>
    <w:rsid w:val="004D2C48"/>
    <w:rsid w:val="004D2C7C"/>
    <w:rsid w:val="004D2E64"/>
    <w:rsid w:val="004D2FED"/>
    <w:rsid w:val="004D30B5"/>
    <w:rsid w:val="004D31C6"/>
    <w:rsid w:val="004D343C"/>
    <w:rsid w:val="004D3476"/>
    <w:rsid w:val="004D3A33"/>
    <w:rsid w:val="004D3A66"/>
    <w:rsid w:val="004D3C52"/>
    <w:rsid w:val="004D3EA2"/>
    <w:rsid w:val="004D3FFA"/>
    <w:rsid w:val="004D419A"/>
    <w:rsid w:val="004D43A0"/>
    <w:rsid w:val="004D45AF"/>
    <w:rsid w:val="004D4B0E"/>
    <w:rsid w:val="004D4C37"/>
    <w:rsid w:val="004D4E0D"/>
    <w:rsid w:val="004D5047"/>
    <w:rsid w:val="004D51A3"/>
    <w:rsid w:val="004D537D"/>
    <w:rsid w:val="004D53BC"/>
    <w:rsid w:val="004D5714"/>
    <w:rsid w:val="004D57C1"/>
    <w:rsid w:val="004D598E"/>
    <w:rsid w:val="004D5B0E"/>
    <w:rsid w:val="004D5C4F"/>
    <w:rsid w:val="004D5E4C"/>
    <w:rsid w:val="004D5EC1"/>
    <w:rsid w:val="004D600D"/>
    <w:rsid w:val="004D617F"/>
    <w:rsid w:val="004D61E6"/>
    <w:rsid w:val="004D6484"/>
    <w:rsid w:val="004D6759"/>
    <w:rsid w:val="004D6776"/>
    <w:rsid w:val="004D6A63"/>
    <w:rsid w:val="004D6CF7"/>
    <w:rsid w:val="004D6D59"/>
    <w:rsid w:val="004D6EBF"/>
    <w:rsid w:val="004D70B7"/>
    <w:rsid w:val="004D729D"/>
    <w:rsid w:val="004D73A4"/>
    <w:rsid w:val="004D7423"/>
    <w:rsid w:val="004D7A8D"/>
    <w:rsid w:val="004D7E1D"/>
    <w:rsid w:val="004D7F1A"/>
    <w:rsid w:val="004E002C"/>
    <w:rsid w:val="004E0290"/>
    <w:rsid w:val="004E030E"/>
    <w:rsid w:val="004E072A"/>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EB"/>
    <w:rsid w:val="004E2B86"/>
    <w:rsid w:val="004E2C78"/>
    <w:rsid w:val="004E2C9E"/>
    <w:rsid w:val="004E2CC2"/>
    <w:rsid w:val="004E2D2A"/>
    <w:rsid w:val="004E30A3"/>
    <w:rsid w:val="004E31F2"/>
    <w:rsid w:val="004E34FF"/>
    <w:rsid w:val="004E35E1"/>
    <w:rsid w:val="004E3679"/>
    <w:rsid w:val="004E3A8B"/>
    <w:rsid w:val="004E3B66"/>
    <w:rsid w:val="004E3DCB"/>
    <w:rsid w:val="004E3EFE"/>
    <w:rsid w:val="004E3F98"/>
    <w:rsid w:val="004E3FAF"/>
    <w:rsid w:val="004E41BD"/>
    <w:rsid w:val="004E4716"/>
    <w:rsid w:val="004E4739"/>
    <w:rsid w:val="004E4882"/>
    <w:rsid w:val="004E4ECA"/>
    <w:rsid w:val="004E558F"/>
    <w:rsid w:val="004E5809"/>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592"/>
    <w:rsid w:val="004E7782"/>
    <w:rsid w:val="004E7B11"/>
    <w:rsid w:val="004E7F08"/>
    <w:rsid w:val="004E7F74"/>
    <w:rsid w:val="004F0050"/>
    <w:rsid w:val="004F03F3"/>
    <w:rsid w:val="004F03FE"/>
    <w:rsid w:val="004F06F2"/>
    <w:rsid w:val="004F08FB"/>
    <w:rsid w:val="004F0C1D"/>
    <w:rsid w:val="004F0EB9"/>
    <w:rsid w:val="004F124E"/>
    <w:rsid w:val="004F1532"/>
    <w:rsid w:val="004F16A4"/>
    <w:rsid w:val="004F1878"/>
    <w:rsid w:val="004F19EC"/>
    <w:rsid w:val="004F1BE6"/>
    <w:rsid w:val="004F1CF4"/>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310"/>
    <w:rsid w:val="004F4476"/>
    <w:rsid w:val="004F4617"/>
    <w:rsid w:val="004F463C"/>
    <w:rsid w:val="004F46B2"/>
    <w:rsid w:val="004F47D6"/>
    <w:rsid w:val="004F4C39"/>
    <w:rsid w:val="004F4DB8"/>
    <w:rsid w:val="004F4E4D"/>
    <w:rsid w:val="004F4F6C"/>
    <w:rsid w:val="004F4FB2"/>
    <w:rsid w:val="004F5070"/>
    <w:rsid w:val="004F5126"/>
    <w:rsid w:val="004F5136"/>
    <w:rsid w:val="004F51DD"/>
    <w:rsid w:val="004F5229"/>
    <w:rsid w:val="004F537F"/>
    <w:rsid w:val="004F547D"/>
    <w:rsid w:val="004F552B"/>
    <w:rsid w:val="004F55F9"/>
    <w:rsid w:val="004F5712"/>
    <w:rsid w:val="004F5787"/>
    <w:rsid w:val="004F5B42"/>
    <w:rsid w:val="004F5B74"/>
    <w:rsid w:val="004F5D23"/>
    <w:rsid w:val="004F5D5A"/>
    <w:rsid w:val="004F5D88"/>
    <w:rsid w:val="004F5F89"/>
    <w:rsid w:val="004F6056"/>
    <w:rsid w:val="004F607E"/>
    <w:rsid w:val="004F60F3"/>
    <w:rsid w:val="004F6248"/>
    <w:rsid w:val="004F62B5"/>
    <w:rsid w:val="004F6307"/>
    <w:rsid w:val="004F6328"/>
    <w:rsid w:val="004F6505"/>
    <w:rsid w:val="004F69C7"/>
    <w:rsid w:val="004F6A2D"/>
    <w:rsid w:val="004F6C5B"/>
    <w:rsid w:val="004F6D01"/>
    <w:rsid w:val="004F6D26"/>
    <w:rsid w:val="004F6ED1"/>
    <w:rsid w:val="004F7520"/>
    <w:rsid w:val="004F75AB"/>
    <w:rsid w:val="004F75D3"/>
    <w:rsid w:val="004F77AA"/>
    <w:rsid w:val="004F780A"/>
    <w:rsid w:val="004F7A45"/>
    <w:rsid w:val="004F7B37"/>
    <w:rsid w:val="004F7E33"/>
    <w:rsid w:val="004F7E76"/>
    <w:rsid w:val="004F7EF6"/>
    <w:rsid w:val="004F7FAF"/>
    <w:rsid w:val="005000F0"/>
    <w:rsid w:val="00500169"/>
    <w:rsid w:val="00500544"/>
    <w:rsid w:val="005005F7"/>
    <w:rsid w:val="0050060F"/>
    <w:rsid w:val="005006F5"/>
    <w:rsid w:val="00500817"/>
    <w:rsid w:val="00500971"/>
    <w:rsid w:val="00500A94"/>
    <w:rsid w:val="00500B95"/>
    <w:rsid w:val="00500C3A"/>
    <w:rsid w:val="0050110C"/>
    <w:rsid w:val="005012F7"/>
    <w:rsid w:val="005013B7"/>
    <w:rsid w:val="00501686"/>
    <w:rsid w:val="0050173B"/>
    <w:rsid w:val="00501771"/>
    <w:rsid w:val="005017CA"/>
    <w:rsid w:val="00501870"/>
    <w:rsid w:val="005018D7"/>
    <w:rsid w:val="00501961"/>
    <w:rsid w:val="00501A3B"/>
    <w:rsid w:val="00501A6F"/>
    <w:rsid w:val="00501C65"/>
    <w:rsid w:val="00501DDD"/>
    <w:rsid w:val="005021A9"/>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E4C"/>
    <w:rsid w:val="00503F70"/>
    <w:rsid w:val="00504102"/>
    <w:rsid w:val="005042A8"/>
    <w:rsid w:val="005047C1"/>
    <w:rsid w:val="00504828"/>
    <w:rsid w:val="005048B1"/>
    <w:rsid w:val="0050494A"/>
    <w:rsid w:val="00504B3B"/>
    <w:rsid w:val="00504E9C"/>
    <w:rsid w:val="00504EBE"/>
    <w:rsid w:val="00504F9D"/>
    <w:rsid w:val="005055C4"/>
    <w:rsid w:val="00505774"/>
    <w:rsid w:val="00505805"/>
    <w:rsid w:val="0050584D"/>
    <w:rsid w:val="00506293"/>
    <w:rsid w:val="00506295"/>
    <w:rsid w:val="0050631A"/>
    <w:rsid w:val="005066B4"/>
    <w:rsid w:val="005066CF"/>
    <w:rsid w:val="0050678E"/>
    <w:rsid w:val="00506908"/>
    <w:rsid w:val="005069CC"/>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D13"/>
    <w:rsid w:val="00507D2F"/>
    <w:rsid w:val="00507DAA"/>
    <w:rsid w:val="005101F4"/>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EB7"/>
    <w:rsid w:val="00511FA3"/>
    <w:rsid w:val="00512024"/>
    <w:rsid w:val="00512356"/>
    <w:rsid w:val="0051241C"/>
    <w:rsid w:val="005125F5"/>
    <w:rsid w:val="005127F6"/>
    <w:rsid w:val="00512829"/>
    <w:rsid w:val="00512D70"/>
    <w:rsid w:val="00512D98"/>
    <w:rsid w:val="00512DEF"/>
    <w:rsid w:val="00512F6B"/>
    <w:rsid w:val="005135E9"/>
    <w:rsid w:val="00513763"/>
    <w:rsid w:val="00513B28"/>
    <w:rsid w:val="00513BF4"/>
    <w:rsid w:val="00513F34"/>
    <w:rsid w:val="00513F40"/>
    <w:rsid w:val="005142B7"/>
    <w:rsid w:val="005145B8"/>
    <w:rsid w:val="00514679"/>
    <w:rsid w:val="00514AF5"/>
    <w:rsid w:val="00514B33"/>
    <w:rsid w:val="00514CBA"/>
    <w:rsid w:val="00514E0C"/>
    <w:rsid w:val="00514F32"/>
    <w:rsid w:val="00514FCF"/>
    <w:rsid w:val="0051504A"/>
    <w:rsid w:val="00515099"/>
    <w:rsid w:val="0051513A"/>
    <w:rsid w:val="00515199"/>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68"/>
    <w:rsid w:val="005162D3"/>
    <w:rsid w:val="005162D7"/>
    <w:rsid w:val="0051635C"/>
    <w:rsid w:val="00516531"/>
    <w:rsid w:val="005166C2"/>
    <w:rsid w:val="00516A91"/>
    <w:rsid w:val="00516ACE"/>
    <w:rsid w:val="00516ADA"/>
    <w:rsid w:val="00516AFF"/>
    <w:rsid w:val="00516CD7"/>
    <w:rsid w:val="00516D7A"/>
    <w:rsid w:val="00516DF2"/>
    <w:rsid w:val="00516E98"/>
    <w:rsid w:val="00516EA5"/>
    <w:rsid w:val="00516FF3"/>
    <w:rsid w:val="005172DC"/>
    <w:rsid w:val="00517583"/>
    <w:rsid w:val="005175C5"/>
    <w:rsid w:val="0051763B"/>
    <w:rsid w:val="00517830"/>
    <w:rsid w:val="00517AE4"/>
    <w:rsid w:val="00517B99"/>
    <w:rsid w:val="00517BA9"/>
    <w:rsid w:val="00517CE1"/>
    <w:rsid w:val="00517DA8"/>
    <w:rsid w:val="00520178"/>
    <w:rsid w:val="0052020A"/>
    <w:rsid w:val="00520224"/>
    <w:rsid w:val="0052027D"/>
    <w:rsid w:val="00520336"/>
    <w:rsid w:val="00520396"/>
    <w:rsid w:val="005203DC"/>
    <w:rsid w:val="005206D7"/>
    <w:rsid w:val="00520C8C"/>
    <w:rsid w:val="00520E76"/>
    <w:rsid w:val="00521057"/>
    <w:rsid w:val="005210C7"/>
    <w:rsid w:val="005211C7"/>
    <w:rsid w:val="0052125E"/>
    <w:rsid w:val="00521277"/>
    <w:rsid w:val="0052132A"/>
    <w:rsid w:val="00521476"/>
    <w:rsid w:val="005214A2"/>
    <w:rsid w:val="005214E0"/>
    <w:rsid w:val="005216D8"/>
    <w:rsid w:val="00521AB2"/>
    <w:rsid w:val="00521D85"/>
    <w:rsid w:val="00521F5B"/>
    <w:rsid w:val="00522059"/>
    <w:rsid w:val="005221BB"/>
    <w:rsid w:val="00522340"/>
    <w:rsid w:val="005225BE"/>
    <w:rsid w:val="00522654"/>
    <w:rsid w:val="00522AB4"/>
    <w:rsid w:val="00522C20"/>
    <w:rsid w:val="00522F80"/>
    <w:rsid w:val="0052319D"/>
    <w:rsid w:val="005233EB"/>
    <w:rsid w:val="0052381F"/>
    <w:rsid w:val="00523A26"/>
    <w:rsid w:val="00523CCA"/>
    <w:rsid w:val="00524355"/>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4F6D"/>
    <w:rsid w:val="00525169"/>
    <w:rsid w:val="00525401"/>
    <w:rsid w:val="005255BC"/>
    <w:rsid w:val="00525602"/>
    <w:rsid w:val="005258D2"/>
    <w:rsid w:val="00525ACF"/>
    <w:rsid w:val="00525B23"/>
    <w:rsid w:val="00525CFE"/>
    <w:rsid w:val="00525D0F"/>
    <w:rsid w:val="005264AE"/>
    <w:rsid w:val="00526870"/>
    <w:rsid w:val="00526A20"/>
    <w:rsid w:val="00526A35"/>
    <w:rsid w:val="00526A46"/>
    <w:rsid w:val="00526A9F"/>
    <w:rsid w:val="00526C1C"/>
    <w:rsid w:val="00526C39"/>
    <w:rsid w:val="00526C91"/>
    <w:rsid w:val="00526CDB"/>
    <w:rsid w:val="00526E83"/>
    <w:rsid w:val="0052726A"/>
    <w:rsid w:val="005273B7"/>
    <w:rsid w:val="00527454"/>
    <w:rsid w:val="00527537"/>
    <w:rsid w:val="005275AB"/>
    <w:rsid w:val="0052771F"/>
    <w:rsid w:val="005277F8"/>
    <w:rsid w:val="00527895"/>
    <w:rsid w:val="00527990"/>
    <w:rsid w:val="00527AC0"/>
    <w:rsid w:val="00527B48"/>
    <w:rsid w:val="00527BD3"/>
    <w:rsid w:val="00527C04"/>
    <w:rsid w:val="00527E27"/>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3A3"/>
    <w:rsid w:val="005313CB"/>
    <w:rsid w:val="005313DC"/>
    <w:rsid w:val="00531529"/>
    <w:rsid w:val="00531615"/>
    <w:rsid w:val="00531629"/>
    <w:rsid w:val="0053163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AB3"/>
    <w:rsid w:val="00532C3F"/>
    <w:rsid w:val="00532C4A"/>
    <w:rsid w:val="00532F20"/>
    <w:rsid w:val="0053307F"/>
    <w:rsid w:val="005331A2"/>
    <w:rsid w:val="005333CC"/>
    <w:rsid w:val="005335AB"/>
    <w:rsid w:val="00533A48"/>
    <w:rsid w:val="00533A54"/>
    <w:rsid w:val="00533C81"/>
    <w:rsid w:val="00533E20"/>
    <w:rsid w:val="00533F0A"/>
    <w:rsid w:val="00533F97"/>
    <w:rsid w:val="00534012"/>
    <w:rsid w:val="0053411A"/>
    <w:rsid w:val="0053417A"/>
    <w:rsid w:val="005341CD"/>
    <w:rsid w:val="0053436C"/>
    <w:rsid w:val="005343AD"/>
    <w:rsid w:val="005347FC"/>
    <w:rsid w:val="00534A86"/>
    <w:rsid w:val="00534ADF"/>
    <w:rsid w:val="00534BF3"/>
    <w:rsid w:val="00534E6F"/>
    <w:rsid w:val="00535183"/>
    <w:rsid w:val="005353DF"/>
    <w:rsid w:val="005357F8"/>
    <w:rsid w:val="00535831"/>
    <w:rsid w:val="005358BA"/>
    <w:rsid w:val="0053592A"/>
    <w:rsid w:val="005359BE"/>
    <w:rsid w:val="00535C5C"/>
    <w:rsid w:val="00535E7F"/>
    <w:rsid w:val="00535E87"/>
    <w:rsid w:val="00535E8E"/>
    <w:rsid w:val="00535F73"/>
    <w:rsid w:val="00536261"/>
    <w:rsid w:val="00536400"/>
    <w:rsid w:val="00536927"/>
    <w:rsid w:val="005369D1"/>
    <w:rsid w:val="00536B50"/>
    <w:rsid w:val="00536B70"/>
    <w:rsid w:val="00536C00"/>
    <w:rsid w:val="00536F16"/>
    <w:rsid w:val="00536F4D"/>
    <w:rsid w:val="00537055"/>
    <w:rsid w:val="005370A9"/>
    <w:rsid w:val="005371D1"/>
    <w:rsid w:val="0053721D"/>
    <w:rsid w:val="00537357"/>
    <w:rsid w:val="0053753C"/>
    <w:rsid w:val="00537992"/>
    <w:rsid w:val="005379EE"/>
    <w:rsid w:val="00537B13"/>
    <w:rsid w:val="00537B7D"/>
    <w:rsid w:val="00537C2A"/>
    <w:rsid w:val="00537DFE"/>
    <w:rsid w:val="00537EB0"/>
    <w:rsid w:val="00537EC7"/>
    <w:rsid w:val="005401CE"/>
    <w:rsid w:val="00540356"/>
    <w:rsid w:val="00540477"/>
    <w:rsid w:val="0054057B"/>
    <w:rsid w:val="0054057D"/>
    <w:rsid w:val="005406DF"/>
    <w:rsid w:val="0054073E"/>
    <w:rsid w:val="00540886"/>
    <w:rsid w:val="00540C2B"/>
    <w:rsid w:val="00540D96"/>
    <w:rsid w:val="00540EAA"/>
    <w:rsid w:val="00541296"/>
    <w:rsid w:val="005415F2"/>
    <w:rsid w:val="00541719"/>
    <w:rsid w:val="00541906"/>
    <w:rsid w:val="00541A4B"/>
    <w:rsid w:val="00541ACC"/>
    <w:rsid w:val="00541B0D"/>
    <w:rsid w:val="00541CB3"/>
    <w:rsid w:val="00541D57"/>
    <w:rsid w:val="00541E48"/>
    <w:rsid w:val="00541E8B"/>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769"/>
    <w:rsid w:val="005447DC"/>
    <w:rsid w:val="0054480E"/>
    <w:rsid w:val="00544996"/>
    <w:rsid w:val="00544B01"/>
    <w:rsid w:val="00544CA4"/>
    <w:rsid w:val="0054500E"/>
    <w:rsid w:val="005451C8"/>
    <w:rsid w:val="005451DE"/>
    <w:rsid w:val="00545252"/>
    <w:rsid w:val="00545253"/>
    <w:rsid w:val="0054530C"/>
    <w:rsid w:val="0054556A"/>
    <w:rsid w:val="00545675"/>
    <w:rsid w:val="005457AE"/>
    <w:rsid w:val="00545896"/>
    <w:rsid w:val="005458EA"/>
    <w:rsid w:val="00545979"/>
    <w:rsid w:val="00545C71"/>
    <w:rsid w:val="00545EE7"/>
    <w:rsid w:val="005465D7"/>
    <w:rsid w:val="00546679"/>
    <w:rsid w:val="0054672A"/>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50137"/>
    <w:rsid w:val="0055045B"/>
    <w:rsid w:val="005507C9"/>
    <w:rsid w:val="005508A8"/>
    <w:rsid w:val="0055092E"/>
    <w:rsid w:val="005509A0"/>
    <w:rsid w:val="005509F4"/>
    <w:rsid w:val="00550BDA"/>
    <w:rsid w:val="00550D81"/>
    <w:rsid w:val="00550F23"/>
    <w:rsid w:val="005510ED"/>
    <w:rsid w:val="005511A1"/>
    <w:rsid w:val="00551310"/>
    <w:rsid w:val="005513B3"/>
    <w:rsid w:val="00551654"/>
    <w:rsid w:val="005516D4"/>
    <w:rsid w:val="005518DE"/>
    <w:rsid w:val="005519DC"/>
    <w:rsid w:val="005519EF"/>
    <w:rsid w:val="00551A60"/>
    <w:rsid w:val="00551B0E"/>
    <w:rsid w:val="00551B68"/>
    <w:rsid w:val="005524D1"/>
    <w:rsid w:val="005525CF"/>
    <w:rsid w:val="00552804"/>
    <w:rsid w:val="005528F0"/>
    <w:rsid w:val="00552B20"/>
    <w:rsid w:val="00552B49"/>
    <w:rsid w:val="00552D44"/>
    <w:rsid w:val="00552E0B"/>
    <w:rsid w:val="00553007"/>
    <w:rsid w:val="00553030"/>
    <w:rsid w:val="0055321F"/>
    <w:rsid w:val="005532DB"/>
    <w:rsid w:val="00553475"/>
    <w:rsid w:val="005536B4"/>
    <w:rsid w:val="005537B5"/>
    <w:rsid w:val="005538C1"/>
    <w:rsid w:val="005538FF"/>
    <w:rsid w:val="005539FD"/>
    <w:rsid w:val="00553B2B"/>
    <w:rsid w:val="00553BC5"/>
    <w:rsid w:val="00553D2A"/>
    <w:rsid w:val="00553DA4"/>
    <w:rsid w:val="00553DC1"/>
    <w:rsid w:val="00553F13"/>
    <w:rsid w:val="00553F88"/>
    <w:rsid w:val="0055410A"/>
    <w:rsid w:val="00554207"/>
    <w:rsid w:val="00554488"/>
    <w:rsid w:val="00554559"/>
    <w:rsid w:val="0055458C"/>
    <w:rsid w:val="00554601"/>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350"/>
    <w:rsid w:val="0055639E"/>
    <w:rsid w:val="00556439"/>
    <w:rsid w:val="0055661B"/>
    <w:rsid w:val="0055663D"/>
    <w:rsid w:val="00556AF5"/>
    <w:rsid w:val="00556C1C"/>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6F"/>
    <w:rsid w:val="0056216D"/>
    <w:rsid w:val="005622F0"/>
    <w:rsid w:val="00562671"/>
    <w:rsid w:val="00562730"/>
    <w:rsid w:val="0056287F"/>
    <w:rsid w:val="005628B4"/>
    <w:rsid w:val="005628D8"/>
    <w:rsid w:val="00562C33"/>
    <w:rsid w:val="00562F8B"/>
    <w:rsid w:val="005632BE"/>
    <w:rsid w:val="005635C8"/>
    <w:rsid w:val="005636F3"/>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9A"/>
    <w:rsid w:val="00564DEC"/>
    <w:rsid w:val="00564F68"/>
    <w:rsid w:val="0056507E"/>
    <w:rsid w:val="00565186"/>
    <w:rsid w:val="00565207"/>
    <w:rsid w:val="00565421"/>
    <w:rsid w:val="00565640"/>
    <w:rsid w:val="00565729"/>
    <w:rsid w:val="005659FA"/>
    <w:rsid w:val="0056607A"/>
    <w:rsid w:val="005662D8"/>
    <w:rsid w:val="0056645F"/>
    <w:rsid w:val="005664D5"/>
    <w:rsid w:val="00566728"/>
    <w:rsid w:val="00566829"/>
    <w:rsid w:val="00566878"/>
    <w:rsid w:val="005668DF"/>
    <w:rsid w:val="00566968"/>
    <w:rsid w:val="00566A19"/>
    <w:rsid w:val="00566BC4"/>
    <w:rsid w:val="00566CA6"/>
    <w:rsid w:val="00566E7E"/>
    <w:rsid w:val="00566EFD"/>
    <w:rsid w:val="00567043"/>
    <w:rsid w:val="005670EA"/>
    <w:rsid w:val="0056717B"/>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E23"/>
    <w:rsid w:val="00570FDC"/>
    <w:rsid w:val="00571114"/>
    <w:rsid w:val="00571121"/>
    <w:rsid w:val="005711BB"/>
    <w:rsid w:val="005712F4"/>
    <w:rsid w:val="005714A0"/>
    <w:rsid w:val="00571513"/>
    <w:rsid w:val="0057155E"/>
    <w:rsid w:val="005715AD"/>
    <w:rsid w:val="00571F05"/>
    <w:rsid w:val="005720A4"/>
    <w:rsid w:val="0057239B"/>
    <w:rsid w:val="005727EF"/>
    <w:rsid w:val="0057284B"/>
    <w:rsid w:val="0057296D"/>
    <w:rsid w:val="00572A59"/>
    <w:rsid w:val="00572C86"/>
    <w:rsid w:val="00572D01"/>
    <w:rsid w:val="00572D45"/>
    <w:rsid w:val="00572E34"/>
    <w:rsid w:val="00572ED4"/>
    <w:rsid w:val="00572F13"/>
    <w:rsid w:val="00572F4B"/>
    <w:rsid w:val="00573204"/>
    <w:rsid w:val="00573221"/>
    <w:rsid w:val="005734F1"/>
    <w:rsid w:val="0057353F"/>
    <w:rsid w:val="0057363F"/>
    <w:rsid w:val="00573784"/>
    <w:rsid w:val="00573B3E"/>
    <w:rsid w:val="00573C12"/>
    <w:rsid w:val="00573D74"/>
    <w:rsid w:val="00573DF6"/>
    <w:rsid w:val="005744ED"/>
    <w:rsid w:val="005745AA"/>
    <w:rsid w:val="00574691"/>
    <w:rsid w:val="00574AEF"/>
    <w:rsid w:val="00574C0F"/>
    <w:rsid w:val="00574E09"/>
    <w:rsid w:val="00574E6B"/>
    <w:rsid w:val="00574EAF"/>
    <w:rsid w:val="00574F79"/>
    <w:rsid w:val="00574F96"/>
    <w:rsid w:val="0057505D"/>
    <w:rsid w:val="005750A6"/>
    <w:rsid w:val="00575160"/>
    <w:rsid w:val="005754C2"/>
    <w:rsid w:val="005754F1"/>
    <w:rsid w:val="0057570D"/>
    <w:rsid w:val="005757AE"/>
    <w:rsid w:val="00575876"/>
    <w:rsid w:val="005759CC"/>
    <w:rsid w:val="00575AFC"/>
    <w:rsid w:val="00575B4D"/>
    <w:rsid w:val="00575C6C"/>
    <w:rsid w:val="00575CED"/>
    <w:rsid w:val="00575E9F"/>
    <w:rsid w:val="005760BB"/>
    <w:rsid w:val="005761B8"/>
    <w:rsid w:val="00576526"/>
    <w:rsid w:val="00576564"/>
    <w:rsid w:val="0057686C"/>
    <w:rsid w:val="005768B7"/>
    <w:rsid w:val="005768DD"/>
    <w:rsid w:val="0057699F"/>
    <w:rsid w:val="00576A74"/>
    <w:rsid w:val="00576E27"/>
    <w:rsid w:val="00576E7F"/>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619"/>
    <w:rsid w:val="005806C5"/>
    <w:rsid w:val="005809C5"/>
    <w:rsid w:val="00580B7D"/>
    <w:rsid w:val="00580C0E"/>
    <w:rsid w:val="00580D2C"/>
    <w:rsid w:val="00580ED8"/>
    <w:rsid w:val="005811DB"/>
    <w:rsid w:val="00581590"/>
    <w:rsid w:val="00581717"/>
    <w:rsid w:val="005819B9"/>
    <w:rsid w:val="00581E7C"/>
    <w:rsid w:val="00581FFB"/>
    <w:rsid w:val="00582AE8"/>
    <w:rsid w:val="00582C35"/>
    <w:rsid w:val="00582DAD"/>
    <w:rsid w:val="00582DCD"/>
    <w:rsid w:val="00582E37"/>
    <w:rsid w:val="00582EAE"/>
    <w:rsid w:val="00582F51"/>
    <w:rsid w:val="00583039"/>
    <w:rsid w:val="005831EA"/>
    <w:rsid w:val="005832EE"/>
    <w:rsid w:val="00583610"/>
    <w:rsid w:val="0058375C"/>
    <w:rsid w:val="00583767"/>
    <w:rsid w:val="00583811"/>
    <w:rsid w:val="0058383D"/>
    <w:rsid w:val="005838F1"/>
    <w:rsid w:val="00583A45"/>
    <w:rsid w:val="00583CD5"/>
    <w:rsid w:val="00583E65"/>
    <w:rsid w:val="00583F57"/>
    <w:rsid w:val="00583FB0"/>
    <w:rsid w:val="0058404C"/>
    <w:rsid w:val="0058424B"/>
    <w:rsid w:val="0058438F"/>
    <w:rsid w:val="0058442D"/>
    <w:rsid w:val="005846A3"/>
    <w:rsid w:val="00584986"/>
    <w:rsid w:val="00584A39"/>
    <w:rsid w:val="00584BB1"/>
    <w:rsid w:val="00584D0F"/>
    <w:rsid w:val="00584D1F"/>
    <w:rsid w:val="00584E72"/>
    <w:rsid w:val="00584E88"/>
    <w:rsid w:val="005850B3"/>
    <w:rsid w:val="0058536F"/>
    <w:rsid w:val="0058537C"/>
    <w:rsid w:val="00585449"/>
    <w:rsid w:val="0058544D"/>
    <w:rsid w:val="005854F3"/>
    <w:rsid w:val="005856DB"/>
    <w:rsid w:val="005856EC"/>
    <w:rsid w:val="0058577B"/>
    <w:rsid w:val="00585ABF"/>
    <w:rsid w:val="00585DD6"/>
    <w:rsid w:val="00585E57"/>
    <w:rsid w:val="00585FA8"/>
    <w:rsid w:val="00586156"/>
    <w:rsid w:val="00586195"/>
    <w:rsid w:val="005861F3"/>
    <w:rsid w:val="00586239"/>
    <w:rsid w:val="005863B7"/>
    <w:rsid w:val="005864FD"/>
    <w:rsid w:val="00586519"/>
    <w:rsid w:val="00586638"/>
    <w:rsid w:val="00586655"/>
    <w:rsid w:val="00586A3F"/>
    <w:rsid w:val="00586A43"/>
    <w:rsid w:val="00586ABC"/>
    <w:rsid w:val="00586C92"/>
    <w:rsid w:val="00586D07"/>
    <w:rsid w:val="00586EAA"/>
    <w:rsid w:val="0058707F"/>
    <w:rsid w:val="00587139"/>
    <w:rsid w:val="00587321"/>
    <w:rsid w:val="00587432"/>
    <w:rsid w:val="005879BC"/>
    <w:rsid w:val="00587A12"/>
    <w:rsid w:val="00587B4A"/>
    <w:rsid w:val="00587C65"/>
    <w:rsid w:val="00587EAB"/>
    <w:rsid w:val="00587EEC"/>
    <w:rsid w:val="00587F62"/>
    <w:rsid w:val="00587FE5"/>
    <w:rsid w:val="005900F3"/>
    <w:rsid w:val="0059028B"/>
    <w:rsid w:val="00590321"/>
    <w:rsid w:val="00590668"/>
    <w:rsid w:val="005906FE"/>
    <w:rsid w:val="005907B5"/>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2BAC"/>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2B5"/>
    <w:rsid w:val="005943E8"/>
    <w:rsid w:val="00594444"/>
    <w:rsid w:val="00594557"/>
    <w:rsid w:val="00594742"/>
    <w:rsid w:val="005947C5"/>
    <w:rsid w:val="00594837"/>
    <w:rsid w:val="00594867"/>
    <w:rsid w:val="005948F3"/>
    <w:rsid w:val="00594911"/>
    <w:rsid w:val="00594AD2"/>
    <w:rsid w:val="00594E2C"/>
    <w:rsid w:val="00594E4F"/>
    <w:rsid w:val="00594F61"/>
    <w:rsid w:val="0059500D"/>
    <w:rsid w:val="005952AE"/>
    <w:rsid w:val="005952ED"/>
    <w:rsid w:val="00595311"/>
    <w:rsid w:val="0059556D"/>
    <w:rsid w:val="00595701"/>
    <w:rsid w:val="00595924"/>
    <w:rsid w:val="00595AEF"/>
    <w:rsid w:val="00595B2B"/>
    <w:rsid w:val="00595BA2"/>
    <w:rsid w:val="00595BFF"/>
    <w:rsid w:val="0059602C"/>
    <w:rsid w:val="00596489"/>
    <w:rsid w:val="005965DA"/>
    <w:rsid w:val="00596666"/>
    <w:rsid w:val="00596959"/>
    <w:rsid w:val="00596A42"/>
    <w:rsid w:val="00596A7A"/>
    <w:rsid w:val="00596D3A"/>
    <w:rsid w:val="00596E16"/>
    <w:rsid w:val="00597037"/>
    <w:rsid w:val="00597039"/>
    <w:rsid w:val="00597055"/>
    <w:rsid w:val="00597294"/>
    <w:rsid w:val="0059731E"/>
    <w:rsid w:val="0059770E"/>
    <w:rsid w:val="00597A3B"/>
    <w:rsid w:val="00597C0D"/>
    <w:rsid w:val="00597CC6"/>
    <w:rsid w:val="00597D63"/>
    <w:rsid w:val="00597F61"/>
    <w:rsid w:val="00597F72"/>
    <w:rsid w:val="00597F99"/>
    <w:rsid w:val="005A0488"/>
    <w:rsid w:val="005A09F8"/>
    <w:rsid w:val="005A0C85"/>
    <w:rsid w:val="005A0CBA"/>
    <w:rsid w:val="005A0E5C"/>
    <w:rsid w:val="005A12E8"/>
    <w:rsid w:val="005A13EB"/>
    <w:rsid w:val="005A15B3"/>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A8"/>
    <w:rsid w:val="005A2B6A"/>
    <w:rsid w:val="005A2BD3"/>
    <w:rsid w:val="005A2C00"/>
    <w:rsid w:val="005A2D31"/>
    <w:rsid w:val="005A2DD8"/>
    <w:rsid w:val="005A31B5"/>
    <w:rsid w:val="005A3263"/>
    <w:rsid w:val="005A32D5"/>
    <w:rsid w:val="005A341C"/>
    <w:rsid w:val="005A3562"/>
    <w:rsid w:val="005A35D9"/>
    <w:rsid w:val="005A36AD"/>
    <w:rsid w:val="005A37B6"/>
    <w:rsid w:val="005A3830"/>
    <w:rsid w:val="005A39F0"/>
    <w:rsid w:val="005A3AE5"/>
    <w:rsid w:val="005A3AEE"/>
    <w:rsid w:val="005A3C4C"/>
    <w:rsid w:val="005A3C58"/>
    <w:rsid w:val="005A4395"/>
    <w:rsid w:val="005A485C"/>
    <w:rsid w:val="005A4A64"/>
    <w:rsid w:val="005A4A68"/>
    <w:rsid w:val="005A5108"/>
    <w:rsid w:val="005A5110"/>
    <w:rsid w:val="005A515E"/>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6C0"/>
    <w:rsid w:val="005A67DB"/>
    <w:rsid w:val="005A68DE"/>
    <w:rsid w:val="005A6AAD"/>
    <w:rsid w:val="005A6B8F"/>
    <w:rsid w:val="005A6BAE"/>
    <w:rsid w:val="005A6F04"/>
    <w:rsid w:val="005A7323"/>
    <w:rsid w:val="005A7556"/>
    <w:rsid w:val="005A75B7"/>
    <w:rsid w:val="005B0362"/>
    <w:rsid w:val="005B03AF"/>
    <w:rsid w:val="005B03EF"/>
    <w:rsid w:val="005B044C"/>
    <w:rsid w:val="005B0562"/>
    <w:rsid w:val="005B0572"/>
    <w:rsid w:val="005B08B9"/>
    <w:rsid w:val="005B0C0F"/>
    <w:rsid w:val="005B1272"/>
    <w:rsid w:val="005B138D"/>
    <w:rsid w:val="005B164F"/>
    <w:rsid w:val="005B16D2"/>
    <w:rsid w:val="005B1A35"/>
    <w:rsid w:val="005B1B8E"/>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30"/>
    <w:rsid w:val="005B42C4"/>
    <w:rsid w:val="005B42CC"/>
    <w:rsid w:val="005B4436"/>
    <w:rsid w:val="005B4472"/>
    <w:rsid w:val="005B46C6"/>
    <w:rsid w:val="005B4B41"/>
    <w:rsid w:val="005B5093"/>
    <w:rsid w:val="005B52C7"/>
    <w:rsid w:val="005B52E2"/>
    <w:rsid w:val="005B5303"/>
    <w:rsid w:val="005B538D"/>
    <w:rsid w:val="005B5463"/>
    <w:rsid w:val="005B54A7"/>
    <w:rsid w:val="005B55C4"/>
    <w:rsid w:val="005B56DE"/>
    <w:rsid w:val="005B5761"/>
    <w:rsid w:val="005B58A4"/>
    <w:rsid w:val="005B5972"/>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35"/>
    <w:rsid w:val="005C007A"/>
    <w:rsid w:val="005C0186"/>
    <w:rsid w:val="005C0264"/>
    <w:rsid w:val="005C0319"/>
    <w:rsid w:val="005C048D"/>
    <w:rsid w:val="005C0542"/>
    <w:rsid w:val="005C055F"/>
    <w:rsid w:val="005C0690"/>
    <w:rsid w:val="005C076F"/>
    <w:rsid w:val="005C0A0A"/>
    <w:rsid w:val="005C0C83"/>
    <w:rsid w:val="005C0CB4"/>
    <w:rsid w:val="005C0D7F"/>
    <w:rsid w:val="005C0EB8"/>
    <w:rsid w:val="005C0FD9"/>
    <w:rsid w:val="005C1949"/>
    <w:rsid w:val="005C19AB"/>
    <w:rsid w:val="005C1A93"/>
    <w:rsid w:val="005C1BD5"/>
    <w:rsid w:val="005C1C75"/>
    <w:rsid w:val="005C1C8C"/>
    <w:rsid w:val="005C1D5F"/>
    <w:rsid w:val="005C1FA1"/>
    <w:rsid w:val="005C2067"/>
    <w:rsid w:val="005C2256"/>
    <w:rsid w:val="005C2350"/>
    <w:rsid w:val="005C243B"/>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FF1"/>
    <w:rsid w:val="005C50CB"/>
    <w:rsid w:val="005C5118"/>
    <w:rsid w:val="005C547C"/>
    <w:rsid w:val="005C5614"/>
    <w:rsid w:val="005C5738"/>
    <w:rsid w:val="005C583F"/>
    <w:rsid w:val="005C5914"/>
    <w:rsid w:val="005C5DC6"/>
    <w:rsid w:val="005C5E99"/>
    <w:rsid w:val="005C5EFD"/>
    <w:rsid w:val="005C6043"/>
    <w:rsid w:val="005C60CB"/>
    <w:rsid w:val="005C6160"/>
    <w:rsid w:val="005C6264"/>
    <w:rsid w:val="005C6353"/>
    <w:rsid w:val="005C6363"/>
    <w:rsid w:val="005C6784"/>
    <w:rsid w:val="005C679C"/>
    <w:rsid w:val="005C68AC"/>
    <w:rsid w:val="005C68FB"/>
    <w:rsid w:val="005C6967"/>
    <w:rsid w:val="005C6A1E"/>
    <w:rsid w:val="005C6F1F"/>
    <w:rsid w:val="005C70A8"/>
    <w:rsid w:val="005C71C6"/>
    <w:rsid w:val="005C71FA"/>
    <w:rsid w:val="005C73B8"/>
    <w:rsid w:val="005C769A"/>
    <w:rsid w:val="005C76FE"/>
    <w:rsid w:val="005C7724"/>
    <w:rsid w:val="005C7747"/>
    <w:rsid w:val="005C78F6"/>
    <w:rsid w:val="005C7A5B"/>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816"/>
    <w:rsid w:val="005D1857"/>
    <w:rsid w:val="005D1A54"/>
    <w:rsid w:val="005D1AA4"/>
    <w:rsid w:val="005D1ABD"/>
    <w:rsid w:val="005D1B28"/>
    <w:rsid w:val="005D1C40"/>
    <w:rsid w:val="005D1F9B"/>
    <w:rsid w:val="005D21D9"/>
    <w:rsid w:val="005D22E0"/>
    <w:rsid w:val="005D23F7"/>
    <w:rsid w:val="005D2412"/>
    <w:rsid w:val="005D248D"/>
    <w:rsid w:val="005D25C9"/>
    <w:rsid w:val="005D25CB"/>
    <w:rsid w:val="005D2918"/>
    <w:rsid w:val="005D2957"/>
    <w:rsid w:val="005D29C8"/>
    <w:rsid w:val="005D2A53"/>
    <w:rsid w:val="005D2A5B"/>
    <w:rsid w:val="005D2A85"/>
    <w:rsid w:val="005D2B41"/>
    <w:rsid w:val="005D2B80"/>
    <w:rsid w:val="005D2B9D"/>
    <w:rsid w:val="005D2DF2"/>
    <w:rsid w:val="005D2EBA"/>
    <w:rsid w:val="005D2EC4"/>
    <w:rsid w:val="005D3144"/>
    <w:rsid w:val="005D315E"/>
    <w:rsid w:val="005D32A3"/>
    <w:rsid w:val="005D32F6"/>
    <w:rsid w:val="005D354A"/>
    <w:rsid w:val="005D35AA"/>
    <w:rsid w:val="005D3608"/>
    <w:rsid w:val="005D37EE"/>
    <w:rsid w:val="005D3803"/>
    <w:rsid w:val="005D3AA0"/>
    <w:rsid w:val="005D3B66"/>
    <w:rsid w:val="005D3CF7"/>
    <w:rsid w:val="005D3D2D"/>
    <w:rsid w:val="005D4230"/>
    <w:rsid w:val="005D432C"/>
    <w:rsid w:val="005D4496"/>
    <w:rsid w:val="005D44DB"/>
    <w:rsid w:val="005D47B4"/>
    <w:rsid w:val="005D4970"/>
    <w:rsid w:val="005D4A9D"/>
    <w:rsid w:val="005D4AEF"/>
    <w:rsid w:val="005D4B3D"/>
    <w:rsid w:val="005D4F3C"/>
    <w:rsid w:val="005D4F3F"/>
    <w:rsid w:val="005D52DF"/>
    <w:rsid w:val="005D52F8"/>
    <w:rsid w:val="005D5330"/>
    <w:rsid w:val="005D54D5"/>
    <w:rsid w:val="005D5596"/>
    <w:rsid w:val="005D5643"/>
    <w:rsid w:val="005D573F"/>
    <w:rsid w:val="005D5757"/>
    <w:rsid w:val="005D5785"/>
    <w:rsid w:val="005D57B4"/>
    <w:rsid w:val="005D57DC"/>
    <w:rsid w:val="005D58DC"/>
    <w:rsid w:val="005D5A5D"/>
    <w:rsid w:val="005D5A62"/>
    <w:rsid w:val="005D5AC2"/>
    <w:rsid w:val="005D5D9F"/>
    <w:rsid w:val="005D5E65"/>
    <w:rsid w:val="005D5F1C"/>
    <w:rsid w:val="005D6017"/>
    <w:rsid w:val="005D6488"/>
    <w:rsid w:val="005D6700"/>
    <w:rsid w:val="005D68EE"/>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B34"/>
    <w:rsid w:val="005D7C8E"/>
    <w:rsid w:val="005D7DBF"/>
    <w:rsid w:val="005E0135"/>
    <w:rsid w:val="005E02D0"/>
    <w:rsid w:val="005E05CB"/>
    <w:rsid w:val="005E0956"/>
    <w:rsid w:val="005E0A09"/>
    <w:rsid w:val="005E0C1F"/>
    <w:rsid w:val="005E0CB9"/>
    <w:rsid w:val="005E0D15"/>
    <w:rsid w:val="005E1094"/>
    <w:rsid w:val="005E1158"/>
    <w:rsid w:val="005E11F3"/>
    <w:rsid w:val="005E1310"/>
    <w:rsid w:val="005E139C"/>
    <w:rsid w:val="005E13A1"/>
    <w:rsid w:val="005E14A6"/>
    <w:rsid w:val="005E160B"/>
    <w:rsid w:val="005E16A0"/>
    <w:rsid w:val="005E181B"/>
    <w:rsid w:val="005E1ADD"/>
    <w:rsid w:val="005E1B94"/>
    <w:rsid w:val="005E1D98"/>
    <w:rsid w:val="005E1DFE"/>
    <w:rsid w:val="005E1E18"/>
    <w:rsid w:val="005E1FDB"/>
    <w:rsid w:val="005E2104"/>
    <w:rsid w:val="005E226D"/>
    <w:rsid w:val="005E22B2"/>
    <w:rsid w:val="005E2442"/>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456A"/>
    <w:rsid w:val="005E4593"/>
    <w:rsid w:val="005E45B1"/>
    <w:rsid w:val="005E460D"/>
    <w:rsid w:val="005E480F"/>
    <w:rsid w:val="005E481D"/>
    <w:rsid w:val="005E4A11"/>
    <w:rsid w:val="005E4AAC"/>
    <w:rsid w:val="005E4C8F"/>
    <w:rsid w:val="005E51C3"/>
    <w:rsid w:val="005E5346"/>
    <w:rsid w:val="005E53AE"/>
    <w:rsid w:val="005E59A8"/>
    <w:rsid w:val="005E59E6"/>
    <w:rsid w:val="005E5AE5"/>
    <w:rsid w:val="005E5AEE"/>
    <w:rsid w:val="005E5F71"/>
    <w:rsid w:val="005E61A5"/>
    <w:rsid w:val="005E6305"/>
    <w:rsid w:val="005E653D"/>
    <w:rsid w:val="005E68FC"/>
    <w:rsid w:val="005E698C"/>
    <w:rsid w:val="005E6BB7"/>
    <w:rsid w:val="005E6C4B"/>
    <w:rsid w:val="005E6CDE"/>
    <w:rsid w:val="005E6CF7"/>
    <w:rsid w:val="005E73A7"/>
    <w:rsid w:val="005E741F"/>
    <w:rsid w:val="005E7434"/>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641"/>
    <w:rsid w:val="005F0768"/>
    <w:rsid w:val="005F085A"/>
    <w:rsid w:val="005F098C"/>
    <w:rsid w:val="005F09B3"/>
    <w:rsid w:val="005F0B72"/>
    <w:rsid w:val="005F0EE7"/>
    <w:rsid w:val="005F1265"/>
    <w:rsid w:val="005F149C"/>
    <w:rsid w:val="005F14B0"/>
    <w:rsid w:val="005F157C"/>
    <w:rsid w:val="005F1A73"/>
    <w:rsid w:val="005F1E1C"/>
    <w:rsid w:val="005F2011"/>
    <w:rsid w:val="005F20F6"/>
    <w:rsid w:val="005F2646"/>
    <w:rsid w:val="005F26FD"/>
    <w:rsid w:val="005F27B0"/>
    <w:rsid w:val="005F282D"/>
    <w:rsid w:val="005F2C35"/>
    <w:rsid w:val="005F2E58"/>
    <w:rsid w:val="005F31BD"/>
    <w:rsid w:val="005F31F4"/>
    <w:rsid w:val="005F325A"/>
    <w:rsid w:val="005F3603"/>
    <w:rsid w:val="005F364B"/>
    <w:rsid w:val="005F3D83"/>
    <w:rsid w:val="005F3FD4"/>
    <w:rsid w:val="005F40E3"/>
    <w:rsid w:val="005F4117"/>
    <w:rsid w:val="005F4236"/>
    <w:rsid w:val="005F44A8"/>
    <w:rsid w:val="005F461F"/>
    <w:rsid w:val="005F464B"/>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85"/>
    <w:rsid w:val="005F50DE"/>
    <w:rsid w:val="005F519E"/>
    <w:rsid w:val="005F5540"/>
    <w:rsid w:val="005F55EA"/>
    <w:rsid w:val="005F5774"/>
    <w:rsid w:val="005F58FB"/>
    <w:rsid w:val="005F59A2"/>
    <w:rsid w:val="005F59A3"/>
    <w:rsid w:val="005F59C1"/>
    <w:rsid w:val="005F5AA7"/>
    <w:rsid w:val="005F5AAE"/>
    <w:rsid w:val="005F5BFC"/>
    <w:rsid w:val="005F5BFF"/>
    <w:rsid w:val="005F63E5"/>
    <w:rsid w:val="005F65F6"/>
    <w:rsid w:val="005F6748"/>
    <w:rsid w:val="005F6771"/>
    <w:rsid w:val="005F67D2"/>
    <w:rsid w:val="005F68BE"/>
    <w:rsid w:val="005F6996"/>
    <w:rsid w:val="005F69D7"/>
    <w:rsid w:val="005F6A8C"/>
    <w:rsid w:val="005F6BB8"/>
    <w:rsid w:val="005F6F09"/>
    <w:rsid w:val="005F6F89"/>
    <w:rsid w:val="005F7089"/>
    <w:rsid w:val="005F71AC"/>
    <w:rsid w:val="005F7356"/>
    <w:rsid w:val="005F74F0"/>
    <w:rsid w:val="005F750B"/>
    <w:rsid w:val="005F778F"/>
    <w:rsid w:val="005F781E"/>
    <w:rsid w:val="005F7886"/>
    <w:rsid w:val="005F7938"/>
    <w:rsid w:val="005F798D"/>
    <w:rsid w:val="005F79CC"/>
    <w:rsid w:val="005F7AF5"/>
    <w:rsid w:val="005F7CEE"/>
    <w:rsid w:val="005F7D67"/>
    <w:rsid w:val="00600004"/>
    <w:rsid w:val="0060049A"/>
    <w:rsid w:val="006005A5"/>
    <w:rsid w:val="0060067E"/>
    <w:rsid w:val="006008D3"/>
    <w:rsid w:val="006009C1"/>
    <w:rsid w:val="00600CB1"/>
    <w:rsid w:val="00600D72"/>
    <w:rsid w:val="00600DA3"/>
    <w:rsid w:val="00600E2A"/>
    <w:rsid w:val="00600EF6"/>
    <w:rsid w:val="00600F17"/>
    <w:rsid w:val="00601246"/>
    <w:rsid w:val="00601394"/>
    <w:rsid w:val="0060147C"/>
    <w:rsid w:val="006015D6"/>
    <w:rsid w:val="006016B0"/>
    <w:rsid w:val="0060177D"/>
    <w:rsid w:val="00601DF7"/>
    <w:rsid w:val="00602145"/>
    <w:rsid w:val="006023DE"/>
    <w:rsid w:val="00602544"/>
    <w:rsid w:val="00602B48"/>
    <w:rsid w:val="00602C1B"/>
    <w:rsid w:val="00602CB5"/>
    <w:rsid w:val="00602CCA"/>
    <w:rsid w:val="00602E6F"/>
    <w:rsid w:val="006031E2"/>
    <w:rsid w:val="006032AD"/>
    <w:rsid w:val="00603402"/>
    <w:rsid w:val="006034B7"/>
    <w:rsid w:val="0060351E"/>
    <w:rsid w:val="006035D8"/>
    <w:rsid w:val="0060360D"/>
    <w:rsid w:val="00603ABE"/>
    <w:rsid w:val="00603B51"/>
    <w:rsid w:val="00603C91"/>
    <w:rsid w:val="00603DDE"/>
    <w:rsid w:val="00603DF6"/>
    <w:rsid w:val="00603F83"/>
    <w:rsid w:val="00603FAE"/>
    <w:rsid w:val="00604479"/>
    <w:rsid w:val="006045E2"/>
    <w:rsid w:val="0060477B"/>
    <w:rsid w:val="0060491E"/>
    <w:rsid w:val="00604920"/>
    <w:rsid w:val="00604982"/>
    <w:rsid w:val="00604AFE"/>
    <w:rsid w:val="00604BFE"/>
    <w:rsid w:val="006052CF"/>
    <w:rsid w:val="006053D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87B"/>
    <w:rsid w:val="00606BEB"/>
    <w:rsid w:val="00606DB0"/>
    <w:rsid w:val="00606DBD"/>
    <w:rsid w:val="00606E37"/>
    <w:rsid w:val="00606EBB"/>
    <w:rsid w:val="00606F03"/>
    <w:rsid w:val="00607197"/>
    <w:rsid w:val="0060719C"/>
    <w:rsid w:val="006071CF"/>
    <w:rsid w:val="0060730F"/>
    <w:rsid w:val="00607595"/>
    <w:rsid w:val="006076DA"/>
    <w:rsid w:val="00607773"/>
    <w:rsid w:val="006077CF"/>
    <w:rsid w:val="00607943"/>
    <w:rsid w:val="00607BFE"/>
    <w:rsid w:val="00607D5B"/>
    <w:rsid w:val="00607D7C"/>
    <w:rsid w:val="00607EBD"/>
    <w:rsid w:val="00607ED4"/>
    <w:rsid w:val="00607FB1"/>
    <w:rsid w:val="00607FD1"/>
    <w:rsid w:val="00610058"/>
    <w:rsid w:val="00610087"/>
    <w:rsid w:val="006101C1"/>
    <w:rsid w:val="0061021C"/>
    <w:rsid w:val="00610551"/>
    <w:rsid w:val="00610678"/>
    <w:rsid w:val="00610AFB"/>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51D"/>
    <w:rsid w:val="006125E8"/>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57"/>
    <w:rsid w:val="006159CE"/>
    <w:rsid w:val="00615DD0"/>
    <w:rsid w:val="00615EAB"/>
    <w:rsid w:val="006162B8"/>
    <w:rsid w:val="006162E0"/>
    <w:rsid w:val="00616335"/>
    <w:rsid w:val="006164F2"/>
    <w:rsid w:val="006165BB"/>
    <w:rsid w:val="00616767"/>
    <w:rsid w:val="006168CE"/>
    <w:rsid w:val="00616D81"/>
    <w:rsid w:val="00616F3C"/>
    <w:rsid w:val="00617021"/>
    <w:rsid w:val="0061711D"/>
    <w:rsid w:val="006171D4"/>
    <w:rsid w:val="006173AC"/>
    <w:rsid w:val="00617514"/>
    <w:rsid w:val="0061757E"/>
    <w:rsid w:val="0061796F"/>
    <w:rsid w:val="00617C60"/>
    <w:rsid w:val="00617D27"/>
    <w:rsid w:val="0062009F"/>
    <w:rsid w:val="006201AE"/>
    <w:rsid w:val="006205D1"/>
    <w:rsid w:val="00620669"/>
    <w:rsid w:val="00620770"/>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47D"/>
    <w:rsid w:val="00622868"/>
    <w:rsid w:val="00622A17"/>
    <w:rsid w:val="00622A80"/>
    <w:rsid w:val="006231BF"/>
    <w:rsid w:val="00623577"/>
    <w:rsid w:val="006238D9"/>
    <w:rsid w:val="006239BD"/>
    <w:rsid w:val="00623AF8"/>
    <w:rsid w:val="00623BD1"/>
    <w:rsid w:val="00623C79"/>
    <w:rsid w:val="00623CF3"/>
    <w:rsid w:val="00623D82"/>
    <w:rsid w:val="00624530"/>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7E9"/>
    <w:rsid w:val="00627D52"/>
    <w:rsid w:val="00627E38"/>
    <w:rsid w:val="00627FB6"/>
    <w:rsid w:val="00627FCE"/>
    <w:rsid w:val="00630048"/>
    <w:rsid w:val="006300A7"/>
    <w:rsid w:val="0063018F"/>
    <w:rsid w:val="006302E8"/>
    <w:rsid w:val="006302F0"/>
    <w:rsid w:val="00630731"/>
    <w:rsid w:val="00630C17"/>
    <w:rsid w:val="00630C38"/>
    <w:rsid w:val="00630E89"/>
    <w:rsid w:val="00630F4F"/>
    <w:rsid w:val="006310C1"/>
    <w:rsid w:val="006311CF"/>
    <w:rsid w:val="006313B4"/>
    <w:rsid w:val="00631593"/>
    <w:rsid w:val="0063169C"/>
    <w:rsid w:val="00631D57"/>
    <w:rsid w:val="00631F9F"/>
    <w:rsid w:val="00632092"/>
    <w:rsid w:val="006320F4"/>
    <w:rsid w:val="006321BC"/>
    <w:rsid w:val="0063226A"/>
    <w:rsid w:val="00632750"/>
    <w:rsid w:val="00632872"/>
    <w:rsid w:val="00632884"/>
    <w:rsid w:val="00632969"/>
    <w:rsid w:val="00632A2F"/>
    <w:rsid w:val="00632A3B"/>
    <w:rsid w:val="00632ACB"/>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973"/>
    <w:rsid w:val="00633CA1"/>
    <w:rsid w:val="00633CA4"/>
    <w:rsid w:val="00633D89"/>
    <w:rsid w:val="00633DDA"/>
    <w:rsid w:val="00633E3F"/>
    <w:rsid w:val="00633ED3"/>
    <w:rsid w:val="00634141"/>
    <w:rsid w:val="0063423D"/>
    <w:rsid w:val="0063429B"/>
    <w:rsid w:val="00634999"/>
    <w:rsid w:val="006349BD"/>
    <w:rsid w:val="006349C6"/>
    <w:rsid w:val="00634ABC"/>
    <w:rsid w:val="00634C89"/>
    <w:rsid w:val="00634F6A"/>
    <w:rsid w:val="00634F9B"/>
    <w:rsid w:val="006350A1"/>
    <w:rsid w:val="00635300"/>
    <w:rsid w:val="00635459"/>
    <w:rsid w:val="00635494"/>
    <w:rsid w:val="006356AA"/>
    <w:rsid w:val="00635979"/>
    <w:rsid w:val="00635B6E"/>
    <w:rsid w:val="00635D7A"/>
    <w:rsid w:val="00635F5E"/>
    <w:rsid w:val="00636086"/>
    <w:rsid w:val="00636109"/>
    <w:rsid w:val="0063623D"/>
    <w:rsid w:val="00636597"/>
    <w:rsid w:val="00636767"/>
    <w:rsid w:val="00636774"/>
    <w:rsid w:val="00636870"/>
    <w:rsid w:val="00636E04"/>
    <w:rsid w:val="00637004"/>
    <w:rsid w:val="00637227"/>
    <w:rsid w:val="00637347"/>
    <w:rsid w:val="006373BE"/>
    <w:rsid w:val="00637512"/>
    <w:rsid w:val="00637659"/>
    <w:rsid w:val="00637678"/>
    <w:rsid w:val="00637812"/>
    <w:rsid w:val="00637C11"/>
    <w:rsid w:val="00637E1C"/>
    <w:rsid w:val="00637F8B"/>
    <w:rsid w:val="00640071"/>
    <w:rsid w:val="006400B9"/>
    <w:rsid w:val="006405E8"/>
    <w:rsid w:val="00640649"/>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92E"/>
    <w:rsid w:val="00641AE3"/>
    <w:rsid w:val="00641C7A"/>
    <w:rsid w:val="00641D0A"/>
    <w:rsid w:val="00641DAC"/>
    <w:rsid w:val="00641F2D"/>
    <w:rsid w:val="00641F6C"/>
    <w:rsid w:val="0064233D"/>
    <w:rsid w:val="006426DA"/>
    <w:rsid w:val="00642801"/>
    <w:rsid w:val="00642886"/>
    <w:rsid w:val="00642AC1"/>
    <w:rsid w:val="00642BA6"/>
    <w:rsid w:val="00642BAB"/>
    <w:rsid w:val="00642C15"/>
    <w:rsid w:val="00642CA4"/>
    <w:rsid w:val="00642D7D"/>
    <w:rsid w:val="00642E96"/>
    <w:rsid w:val="00642ED4"/>
    <w:rsid w:val="00642F1E"/>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243"/>
    <w:rsid w:val="00646BC9"/>
    <w:rsid w:val="00646C16"/>
    <w:rsid w:val="00646F3D"/>
    <w:rsid w:val="00646FB0"/>
    <w:rsid w:val="00647120"/>
    <w:rsid w:val="00647368"/>
    <w:rsid w:val="006473F6"/>
    <w:rsid w:val="0064744F"/>
    <w:rsid w:val="006474D7"/>
    <w:rsid w:val="00647C0A"/>
    <w:rsid w:val="00647D18"/>
    <w:rsid w:val="00647EFD"/>
    <w:rsid w:val="00650075"/>
    <w:rsid w:val="006502B5"/>
    <w:rsid w:val="0065037A"/>
    <w:rsid w:val="0065058A"/>
    <w:rsid w:val="006505B6"/>
    <w:rsid w:val="0065065F"/>
    <w:rsid w:val="00650807"/>
    <w:rsid w:val="00650820"/>
    <w:rsid w:val="0065088B"/>
    <w:rsid w:val="00650A2B"/>
    <w:rsid w:val="00650A64"/>
    <w:rsid w:val="00650AA1"/>
    <w:rsid w:val="00650CCA"/>
    <w:rsid w:val="00650D13"/>
    <w:rsid w:val="00650E66"/>
    <w:rsid w:val="00650E79"/>
    <w:rsid w:val="0065102B"/>
    <w:rsid w:val="0065114D"/>
    <w:rsid w:val="00651268"/>
    <w:rsid w:val="0065138D"/>
    <w:rsid w:val="00651413"/>
    <w:rsid w:val="00651450"/>
    <w:rsid w:val="0065146E"/>
    <w:rsid w:val="006517DD"/>
    <w:rsid w:val="0065180A"/>
    <w:rsid w:val="006518AD"/>
    <w:rsid w:val="00651C11"/>
    <w:rsid w:val="00651C7A"/>
    <w:rsid w:val="00651FB2"/>
    <w:rsid w:val="006521AD"/>
    <w:rsid w:val="0065241F"/>
    <w:rsid w:val="006524C3"/>
    <w:rsid w:val="00652577"/>
    <w:rsid w:val="006526DF"/>
    <w:rsid w:val="006527A9"/>
    <w:rsid w:val="00652900"/>
    <w:rsid w:val="00652A33"/>
    <w:rsid w:val="00652C89"/>
    <w:rsid w:val="00652D4B"/>
    <w:rsid w:val="00652E18"/>
    <w:rsid w:val="0065348D"/>
    <w:rsid w:val="00653684"/>
    <w:rsid w:val="0065370D"/>
    <w:rsid w:val="00653722"/>
    <w:rsid w:val="0065389F"/>
    <w:rsid w:val="00653A89"/>
    <w:rsid w:val="00653D59"/>
    <w:rsid w:val="00653ECC"/>
    <w:rsid w:val="006540F7"/>
    <w:rsid w:val="006542D2"/>
    <w:rsid w:val="00654353"/>
    <w:rsid w:val="0065442F"/>
    <w:rsid w:val="00654830"/>
    <w:rsid w:val="00654B2E"/>
    <w:rsid w:val="00654D35"/>
    <w:rsid w:val="00654DBD"/>
    <w:rsid w:val="00654F7F"/>
    <w:rsid w:val="00655030"/>
    <w:rsid w:val="0065507C"/>
    <w:rsid w:val="006550BD"/>
    <w:rsid w:val="0065518B"/>
    <w:rsid w:val="006553E4"/>
    <w:rsid w:val="006555E7"/>
    <w:rsid w:val="00655614"/>
    <w:rsid w:val="0065564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9CC"/>
    <w:rsid w:val="00656B39"/>
    <w:rsid w:val="00656CCB"/>
    <w:rsid w:val="00656D11"/>
    <w:rsid w:val="00656FE0"/>
    <w:rsid w:val="00657361"/>
    <w:rsid w:val="006573D7"/>
    <w:rsid w:val="00657403"/>
    <w:rsid w:val="00657575"/>
    <w:rsid w:val="006577E9"/>
    <w:rsid w:val="00657C85"/>
    <w:rsid w:val="00657D2F"/>
    <w:rsid w:val="00657EF0"/>
    <w:rsid w:val="00657FE8"/>
    <w:rsid w:val="006600EA"/>
    <w:rsid w:val="00660127"/>
    <w:rsid w:val="006601FA"/>
    <w:rsid w:val="00660362"/>
    <w:rsid w:val="00660387"/>
    <w:rsid w:val="00660872"/>
    <w:rsid w:val="006608A8"/>
    <w:rsid w:val="006608B6"/>
    <w:rsid w:val="006609B6"/>
    <w:rsid w:val="00660A0D"/>
    <w:rsid w:val="00660B49"/>
    <w:rsid w:val="00660B5B"/>
    <w:rsid w:val="00660CFD"/>
    <w:rsid w:val="00660DA4"/>
    <w:rsid w:val="00660E55"/>
    <w:rsid w:val="00660F92"/>
    <w:rsid w:val="006611DB"/>
    <w:rsid w:val="006611EC"/>
    <w:rsid w:val="006614D8"/>
    <w:rsid w:val="00661537"/>
    <w:rsid w:val="00661619"/>
    <w:rsid w:val="006618B2"/>
    <w:rsid w:val="00661935"/>
    <w:rsid w:val="00661A3F"/>
    <w:rsid w:val="00661A72"/>
    <w:rsid w:val="00661D5B"/>
    <w:rsid w:val="00661E1C"/>
    <w:rsid w:val="00661F8A"/>
    <w:rsid w:val="0066224B"/>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660"/>
    <w:rsid w:val="00663843"/>
    <w:rsid w:val="00663910"/>
    <w:rsid w:val="006639C7"/>
    <w:rsid w:val="006639D7"/>
    <w:rsid w:val="00663A1A"/>
    <w:rsid w:val="00663AFF"/>
    <w:rsid w:val="00663C41"/>
    <w:rsid w:val="00664260"/>
    <w:rsid w:val="00664634"/>
    <w:rsid w:val="00664CC6"/>
    <w:rsid w:val="00664E14"/>
    <w:rsid w:val="006651D8"/>
    <w:rsid w:val="0066567D"/>
    <w:rsid w:val="006656BC"/>
    <w:rsid w:val="00665732"/>
    <w:rsid w:val="006658A8"/>
    <w:rsid w:val="006658C3"/>
    <w:rsid w:val="006659A0"/>
    <w:rsid w:val="00665AB5"/>
    <w:rsid w:val="00665C1C"/>
    <w:rsid w:val="00665DAE"/>
    <w:rsid w:val="00665DCF"/>
    <w:rsid w:val="00665EC9"/>
    <w:rsid w:val="00665EE9"/>
    <w:rsid w:val="00665FF5"/>
    <w:rsid w:val="0066603E"/>
    <w:rsid w:val="00666C7C"/>
    <w:rsid w:val="00666DE3"/>
    <w:rsid w:val="00666E7E"/>
    <w:rsid w:val="0066708D"/>
    <w:rsid w:val="0066714A"/>
    <w:rsid w:val="00667225"/>
    <w:rsid w:val="006673BF"/>
    <w:rsid w:val="0066748E"/>
    <w:rsid w:val="006675C2"/>
    <w:rsid w:val="0066774F"/>
    <w:rsid w:val="00667912"/>
    <w:rsid w:val="00667A5D"/>
    <w:rsid w:val="00667AA3"/>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976"/>
    <w:rsid w:val="0067297C"/>
    <w:rsid w:val="00672A17"/>
    <w:rsid w:val="00672A5D"/>
    <w:rsid w:val="00672F26"/>
    <w:rsid w:val="00673176"/>
    <w:rsid w:val="0067346A"/>
    <w:rsid w:val="00673479"/>
    <w:rsid w:val="00673656"/>
    <w:rsid w:val="0067371B"/>
    <w:rsid w:val="0067383E"/>
    <w:rsid w:val="00673A74"/>
    <w:rsid w:val="00673C6A"/>
    <w:rsid w:val="00673C92"/>
    <w:rsid w:val="00673D32"/>
    <w:rsid w:val="00673DF8"/>
    <w:rsid w:val="00673E4C"/>
    <w:rsid w:val="006740BC"/>
    <w:rsid w:val="00674190"/>
    <w:rsid w:val="00674235"/>
    <w:rsid w:val="006746BC"/>
    <w:rsid w:val="00674A3F"/>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0D9"/>
    <w:rsid w:val="00676107"/>
    <w:rsid w:val="006761A4"/>
    <w:rsid w:val="006761CC"/>
    <w:rsid w:val="006761E1"/>
    <w:rsid w:val="0067639B"/>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1AB"/>
    <w:rsid w:val="00680363"/>
    <w:rsid w:val="00680433"/>
    <w:rsid w:val="0068067B"/>
    <w:rsid w:val="006807B4"/>
    <w:rsid w:val="006808BB"/>
    <w:rsid w:val="006808F1"/>
    <w:rsid w:val="00680964"/>
    <w:rsid w:val="00680AA9"/>
    <w:rsid w:val="00680E2B"/>
    <w:rsid w:val="00681041"/>
    <w:rsid w:val="00681265"/>
    <w:rsid w:val="00681309"/>
    <w:rsid w:val="006813B9"/>
    <w:rsid w:val="0068140C"/>
    <w:rsid w:val="00681414"/>
    <w:rsid w:val="0068167C"/>
    <w:rsid w:val="00681919"/>
    <w:rsid w:val="00681A5B"/>
    <w:rsid w:val="00681B05"/>
    <w:rsid w:val="00681B9C"/>
    <w:rsid w:val="00681C00"/>
    <w:rsid w:val="00681C73"/>
    <w:rsid w:val="00681CB7"/>
    <w:rsid w:val="00682301"/>
    <w:rsid w:val="006823F6"/>
    <w:rsid w:val="006824C5"/>
    <w:rsid w:val="00682807"/>
    <w:rsid w:val="00682960"/>
    <w:rsid w:val="00682A5B"/>
    <w:rsid w:val="00682B5C"/>
    <w:rsid w:val="00682FB6"/>
    <w:rsid w:val="0068320B"/>
    <w:rsid w:val="0068344F"/>
    <w:rsid w:val="00683D21"/>
    <w:rsid w:val="00683D4C"/>
    <w:rsid w:val="00683DA5"/>
    <w:rsid w:val="00683E17"/>
    <w:rsid w:val="00683FB5"/>
    <w:rsid w:val="00684464"/>
    <w:rsid w:val="00684718"/>
    <w:rsid w:val="00684B16"/>
    <w:rsid w:val="00684BC6"/>
    <w:rsid w:val="00684C00"/>
    <w:rsid w:val="00684CB7"/>
    <w:rsid w:val="00684F57"/>
    <w:rsid w:val="00684F9C"/>
    <w:rsid w:val="00684FC1"/>
    <w:rsid w:val="0068505D"/>
    <w:rsid w:val="006852CA"/>
    <w:rsid w:val="006853FC"/>
    <w:rsid w:val="0068546A"/>
    <w:rsid w:val="00685609"/>
    <w:rsid w:val="006856BC"/>
    <w:rsid w:val="0068588A"/>
    <w:rsid w:val="00685C79"/>
    <w:rsid w:val="00685F1C"/>
    <w:rsid w:val="00685F87"/>
    <w:rsid w:val="00685FC9"/>
    <w:rsid w:val="00685FD0"/>
    <w:rsid w:val="00685FE9"/>
    <w:rsid w:val="00686041"/>
    <w:rsid w:val="00686204"/>
    <w:rsid w:val="00686356"/>
    <w:rsid w:val="0068683C"/>
    <w:rsid w:val="0068686D"/>
    <w:rsid w:val="00686972"/>
    <w:rsid w:val="00686B84"/>
    <w:rsid w:val="00686D45"/>
    <w:rsid w:val="00686D9D"/>
    <w:rsid w:val="00686E25"/>
    <w:rsid w:val="00687176"/>
    <w:rsid w:val="006872CC"/>
    <w:rsid w:val="0068731F"/>
    <w:rsid w:val="006873B9"/>
    <w:rsid w:val="006873CE"/>
    <w:rsid w:val="0068763F"/>
    <w:rsid w:val="0068772D"/>
    <w:rsid w:val="00687A08"/>
    <w:rsid w:val="00687B95"/>
    <w:rsid w:val="00687FEF"/>
    <w:rsid w:val="006901E0"/>
    <w:rsid w:val="006901EC"/>
    <w:rsid w:val="00690257"/>
    <w:rsid w:val="0069050C"/>
    <w:rsid w:val="006905A9"/>
    <w:rsid w:val="006906AB"/>
    <w:rsid w:val="006906D9"/>
    <w:rsid w:val="00690772"/>
    <w:rsid w:val="00690869"/>
    <w:rsid w:val="006908C8"/>
    <w:rsid w:val="006909A5"/>
    <w:rsid w:val="00690A8E"/>
    <w:rsid w:val="00690B01"/>
    <w:rsid w:val="00690B58"/>
    <w:rsid w:val="00690D23"/>
    <w:rsid w:val="00690FD5"/>
    <w:rsid w:val="00691330"/>
    <w:rsid w:val="00691531"/>
    <w:rsid w:val="00691555"/>
    <w:rsid w:val="0069155D"/>
    <w:rsid w:val="00691704"/>
    <w:rsid w:val="006918B9"/>
    <w:rsid w:val="00691A92"/>
    <w:rsid w:val="00691B99"/>
    <w:rsid w:val="00691CF3"/>
    <w:rsid w:val="00691E29"/>
    <w:rsid w:val="00691F34"/>
    <w:rsid w:val="00692098"/>
    <w:rsid w:val="0069220A"/>
    <w:rsid w:val="0069225A"/>
    <w:rsid w:val="00692352"/>
    <w:rsid w:val="0069265E"/>
    <w:rsid w:val="006927AF"/>
    <w:rsid w:val="0069285B"/>
    <w:rsid w:val="00692A0A"/>
    <w:rsid w:val="00692B95"/>
    <w:rsid w:val="00692FF6"/>
    <w:rsid w:val="0069314B"/>
    <w:rsid w:val="006931A8"/>
    <w:rsid w:val="0069326D"/>
    <w:rsid w:val="00693613"/>
    <w:rsid w:val="0069368D"/>
    <w:rsid w:val="00693715"/>
    <w:rsid w:val="0069382B"/>
    <w:rsid w:val="00693A96"/>
    <w:rsid w:val="00693B68"/>
    <w:rsid w:val="00693E59"/>
    <w:rsid w:val="00693F6B"/>
    <w:rsid w:val="006941A3"/>
    <w:rsid w:val="006941EB"/>
    <w:rsid w:val="0069424A"/>
    <w:rsid w:val="00694276"/>
    <w:rsid w:val="006943B7"/>
    <w:rsid w:val="006943EF"/>
    <w:rsid w:val="00694558"/>
    <w:rsid w:val="0069455E"/>
    <w:rsid w:val="00694660"/>
    <w:rsid w:val="006946E4"/>
    <w:rsid w:val="00694930"/>
    <w:rsid w:val="00694CB4"/>
    <w:rsid w:val="00694EE5"/>
    <w:rsid w:val="00694EF4"/>
    <w:rsid w:val="0069504E"/>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8D7"/>
    <w:rsid w:val="006A0957"/>
    <w:rsid w:val="006A0AF6"/>
    <w:rsid w:val="006A0D10"/>
    <w:rsid w:val="006A0F56"/>
    <w:rsid w:val="006A10D7"/>
    <w:rsid w:val="006A1300"/>
    <w:rsid w:val="006A165A"/>
    <w:rsid w:val="006A16D0"/>
    <w:rsid w:val="006A17AE"/>
    <w:rsid w:val="006A1888"/>
    <w:rsid w:val="006A1AE1"/>
    <w:rsid w:val="006A1BA3"/>
    <w:rsid w:val="006A1E1A"/>
    <w:rsid w:val="006A1E2B"/>
    <w:rsid w:val="006A1EC1"/>
    <w:rsid w:val="006A26BD"/>
    <w:rsid w:val="006A27EC"/>
    <w:rsid w:val="006A286B"/>
    <w:rsid w:val="006A299C"/>
    <w:rsid w:val="006A29E3"/>
    <w:rsid w:val="006A2D85"/>
    <w:rsid w:val="006A2E7E"/>
    <w:rsid w:val="006A2EFC"/>
    <w:rsid w:val="006A303A"/>
    <w:rsid w:val="006A3277"/>
    <w:rsid w:val="006A38DE"/>
    <w:rsid w:val="006A3A52"/>
    <w:rsid w:val="006A3D4C"/>
    <w:rsid w:val="006A3DF0"/>
    <w:rsid w:val="006A41D1"/>
    <w:rsid w:val="006A43A4"/>
    <w:rsid w:val="006A458F"/>
    <w:rsid w:val="006A45B0"/>
    <w:rsid w:val="006A481D"/>
    <w:rsid w:val="006A49EC"/>
    <w:rsid w:val="006A4AA0"/>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7D6"/>
    <w:rsid w:val="006A7948"/>
    <w:rsid w:val="006A7A53"/>
    <w:rsid w:val="006A7A85"/>
    <w:rsid w:val="006A7C03"/>
    <w:rsid w:val="006A7C21"/>
    <w:rsid w:val="006B0029"/>
    <w:rsid w:val="006B026D"/>
    <w:rsid w:val="006B03E4"/>
    <w:rsid w:val="006B0402"/>
    <w:rsid w:val="006B0419"/>
    <w:rsid w:val="006B05B1"/>
    <w:rsid w:val="006B069E"/>
    <w:rsid w:val="006B082A"/>
    <w:rsid w:val="006B0985"/>
    <w:rsid w:val="006B09FE"/>
    <w:rsid w:val="006B0CB6"/>
    <w:rsid w:val="006B0F91"/>
    <w:rsid w:val="006B0F98"/>
    <w:rsid w:val="006B0FAF"/>
    <w:rsid w:val="006B117A"/>
    <w:rsid w:val="006B141E"/>
    <w:rsid w:val="006B1568"/>
    <w:rsid w:val="006B1611"/>
    <w:rsid w:val="006B1809"/>
    <w:rsid w:val="006B18C7"/>
    <w:rsid w:val="006B196E"/>
    <w:rsid w:val="006B19BD"/>
    <w:rsid w:val="006B1B2A"/>
    <w:rsid w:val="006B1B68"/>
    <w:rsid w:val="006B1BDB"/>
    <w:rsid w:val="006B1C6C"/>
    <w:rsid w:val="006B1D22"/>
    <w:rsid w:val="006B1D8F"/>
    <w:rsid w:val="006B1DB6"/>
    <w:rsid w:val="006B1DE2"/>
    <w:rsid w:val="006B20E5"/>
    <w:rsid w:val="006B213A"/>
    <w:rsid w:val="006B2288"/>
    <w:rsid w:val="006B250A"/>
    <w:rsid w:val="006B2518"/>
    <w:rsid w:val="006B256D"/>
    <w:rsid w:val="006B27BD"/>
    <w:rsid w:val="006B2854"/>
    <w:rsid w:val="006B29E5"/>
    <w:rsid w:val="006B2BC3"/>
    <w:rsid w:val="006B2C06"/>
    <w:rsid w:val="006B2CDE"/>
    <w:rsid w:val="006B2F0C"/>
    <w:rsid w:val="006B2FD0"/>
    <w:rsid w:val="006B306F"/>
    <w:rsid w:val="006B3179"/>
    <w:rsid w:val="006B3720"/>
    <w:rsid w:val="006B397F"/>
    <w:rsid w:val="006B3A20"/>
    <w:rsid w:val="006B3E3C"/>
    <w:rsid w:val="006B3F4F"/>
    <w:rsid w:val="006B4136"/>
    <w:rsid w:val="006B4335"/>
    <w:rsid w:val="006B43D2"/>
    <w:rsid w:val="006B4441"/>
    <w:rsid w:val="006B44F8"/>
    <w:rsid w:val="006B4696"/>
    <w:rsid w:val="006B4B9F"/>
    <w:rsid w:val="006B4C52"/>
    <w:rsid w:val="006B4E0D"/>
    <w:rsid w:val="006B4E1E"/>
    <w:rsid w:val="006B503B"/>
    <w:rsid w:val="006B52A7"/>
    <w:rsid w:val="006B5378"/>
    <w:rsid w:val="006B53C4"/>
    <w:rsid w:val="006B55D3"/>
    <w:rsid w:val="006B56DF"/>
    <w:rsid w:val="006B56E4"/>
    <w:rsid w:val="006B56E7"/>
    <w:rsid w:val="006B5727"/>
    <w:rsid w:val="006B59CE"/>
    <w:rsid w:val="006B5B94"/>
    <w:rsid w:val="006B5E12"/>
    <w:rsid w:val="006B5E17"/>
    <w:rsid w:val="006B5F09"/>
    <w:rsid w:val="006B5FE6"/>
    <w:rsid w:val="006B60D6"/>
    <w:rsid w:val="006B6200"/>
    <w:rsid w:val="006B6392"/>
    <w:rsid w:val="006B63ED"/>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CC9"/>
    <w:rsid w:val="006B7DCB"/>
    <w:rsid w:val="006C0246"/>
    <w:rsid w:val="006C0620"/>
    <w:rsid w:val="006C0813"/>
    <w:rsid w:val="006C081B"/>
    <w:rsid w:val="006C08EC"/>
    <w:rsid w:val="006C0A02"/>
    <w:rsid w:val="006C0A82"/>
    <w:rsid w:val="006C0B0E"/>
    <w:rsid w:val="006C12A8"/>
    <w:rsid w:val="006C12EC"/>
    <w:rsid w:val="006C1320"/>
    <w:rsid w:val="006C1416"/>
    <w:rsid w:val="006C14C9"/>
    <w:rsid w:val="006C1654"/>
    <w:rsid w:val="006C165F"/>
    <w:rsid w:val="006C16EB"/>
    <w:rsid w:val="006C17A7"/>
    <w:rsid w:val="006C1916"/>
    <w:rsid w:val="006C1A12"/>
    <w:rsid w:val="006C1A70"/>
    <w:rsid w:val="006C1CCF"/>
    <w:rsid w:val="006C1EFB"/>
    <w:rsid w:val="006C2283"/>
    <w:rsid w:val="006C2381"/>
    <w:rsid w:val="006C246A"/>
    <w:rsid w:val="006C2528"/>
    <w:rsid w:val="006C2739"/>
    <w:rsid w:val="006C27C7"/>
    <w:rsid w:val="006C28CA"/>
    <w:rsid w:val="006C29CA"/>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952"/>
    <w:rsid w:val="006C4A51"/>
    <w:rsid w:val="006C50D0"/>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B85"/>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A58"/>
    <w:rsid w:val="006C7B35"/>
    <w:rsid w:val="006C7D5A"/>
    <w:rsid w:val="006C7E4F"/>
    <w:rsid w:val="006D0195"/>
    <w:rsid w:val="006D055A"/>
    <w:rsid w:val="006D06B8"/>
    <w:rsid w:val="006D0891"/>
    <w:rsid w:val="006D08D9"/>
    <w:rsid w:val="006D0A3D"/>
    <w:rsid w:val="006D0BFA"/>
    <w:rsid w:val="006D0F1C"/>
    <w:rsid w:val="006D13BA"/>
    <w:rsid w:val="006D13CF"/>
    <w:rsid w:val="006D145D"/>
    <w:rsid w:val="006D156D"/>
    <w:rsid w:val="006D175D"/>
    <w:rsid w:val="006D1835"/>
    <w:rsid w:val="006D18BC"/>
    <w:rsid w:val="006D1972"/>
    <w:rsid w:val="006D1CB7"/>
    <w:rsid w:val="006D1E30"/>
    <w:rsid w:val="006D1ECF"/>
    <w:rsid w:val="006D2195"/>
    <w:rsid w:val="006D243C"/>
    <w:rsid w:val="006D2472"/>
    <w:rsid w:val="006D2486"/>
    <w:rsid w:val="006D259C"/>
    <w:rsid w:val="006D26F3"/>
    <w:rsid w:val="006D2A00"/>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416F"/>
    <w:rsid w:val="006D4263"/>
    <w:rsid w:val="006D4357"/>
    <w:rsid w:val="006D4454"/>
    <w:rsid w:val="006D44C5"/>
    <w:rsid w:val="006D450E"/>
    <w:rsid w:val="006D47DF"/>
    <w:rsid w:val="006D4826"/>
    <w:rsid w:val="006D4D48"/>
    <w:rsid w:val="006D4D51"/>
    <w:rsid w:val="006D4F8C"/>
    <w:rsid w:val="006D502D"/>
    <w:rsid w:val="006D5207"/>
    <w:rsid w:val="006D5351"/>
    <w:rsid w:val="006D5391"/>
    <w:rsid w:val="006D53C5"/>
    <w:rsid w:val="006D5529"/>
    <w:rsid w:val="006D5726"/>
    <w:rsid w:val="006D57CA"/>
    <w:rsid w:val="006D5A6F"/>
    <w:rsid w:val="006D5AC8"/>
    <w:rsid w:val="006D5BC5"/>
    <w:rsid w:val="006D5C55"/>
    <w:rsid w:val="006D5D46"/>
    <w:rsid w:val="006D5DA3"/>
    <w:rsid w:val="006D5E22"/>
    <w:rsid w:val="006D600D"/>
    <w:rsid w:val="006D6446"/>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D62"/>
    <w:rsid w:val="006D7E0A"/>
    <w:rsid w:val="006E00C0"/>
    <w:rsid w:val="006E03AD"/>
    <w:rsid w:val="006E0422"/>
    <w:rsid w:val="006E0802"/>
    <w:rsid w:val="006E08A2"/>
    <w:rsid w:val="006E0A8B"/>
    <w:rsid w:val="006E0B20"/>
    <w:rsid w:val="006E0C95"/>
    <w:rsid w:val="006E0CB9"/>
    <w:rsid w:val="006E0D15"/>
    <w:rsid w:val="006E0D55"/>
    <w:rsid w:val="006E0D8D"/>
    <w:rsid w:val="006E100B"/>
    <w:rsid w:val="006E1071"/>
    <w:rsid w:val="006E1295"/>
    <w:rsid w:val="006E140E"/>
    <w:rsid w:val="006E141C"/>
    <w:rsid w:val="006E163A"/>
    <w:rsid w:val="006E16BC"/>
    <w:rsid w:val="006E1737"/>
    <w:rsid w:val="006E18DB"/>
    <w:rsid w:val="006E1B0F"/>
    <w:rsid w:val="006E1B5A"/>
    <w:rsid w:val="006E1D80"/>
    <w:rsid w:val="006E1E22"/>
    <w:rsid w:val="006E1E80"/>
    <w:rsid w:val="006E1F7B"/>
    <w:rsid w:val="006E2002"/>
    <w:rsid w:val="006E2244"/>
    <w:rsid w:val="006E234A"/>
    <w:rsid w:val="006E2459"/>
    <w:rsid w:val="006E2523"/>
    <w:rsid w:val="006E2A01"/>
    <w:rsid w:val="006E2A43"/>
    <w:rsid w:val="006E2B76"/>
    <w:rsid w:val="006E2D8A"/>
    <w:rsid w:val="006E2E07"/>
    <w:rsid w:val="006E2F58"/>
    <w:rsid w:val="006E3045"/>
    <w:rsid w:val="006E31D4"/>
    <w:rsid w:val="006E3295"/>
    <w:rsid w:val="006E32E7"/>
    <w:rsid w:val="006E34A9"/>
    <w:rsid w:val="006E382A"/>
    <w:rsid w:val="006E3B90"/>
    <w:rsid w:val="006E3C56"/>
    <w:rsid w:val="006E3CE7"/>
    <w:rsid w:val="006E3D9A"/>
    <w:rsid w:val="006E3EE9"/>
    <w:rsid w:val="006E408C"/>
    <w:rsid w:val="006E42F1"/>
    <w:rsid w:val="006E44A4"/>
    <w:rsid w:val="006E4548"/>
    <w:rsid w:val="006E458D"/>
    <w:rsid w:val="006E46AB"/>
    <w:rsid w:val="006E4706"/>
    <w:rsid w:val="006E4773"/>
    <w:rsid w:val="006E47B6"/>
    <w:rsid w:val="006E48C9"/>
    <w:rsid w:val="006E48CB"/>
    <w:rsid w:val="006E4977"/>
    <w:rsid w:val="006E49C8"/>
    <w:rsid w:val="006E4A2D"/>
    <w:rsid w:val="006E4A9D"/>
    <w:rsid w:val="006E4AF4"/>
    <w:rsid w:val="006E4C4A"/>
    <w:rsid w:val="006E4CC6"/>
    <w:rsid w:val="006E502C"/>
    <w:rsid w:val="006E50FB"/>
    <w:rsid w:val="006E524B"/>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988"/>
    <w:rsid w:val="006E6BAA"/>
    <w:rsid w:val="006E6D51"/>
    <w:rsid w:val="006E6FED"/>
    <w:rsid w:val="006E709A"/>
    <w:rsid w:val="006E73C6"/>
    <w:rsid w:val="006E752C"/>
    <w:rsid w:val="006E7556"/>
    <w:rsid w:val="006E76D1"/>
    <w:rsid w:val="006E7746"/>
    <w:rsid w:val="006E777D"/>
    <w:rsid w:val="006E77AD"/>
    <w:rsid w:val="006E77EE"/>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BF8"/>
    <w:rsid w:val="006F1FAB"/>
    <w:rsid w:val="006F21D3"/>
    <w:rsid w:val="006F2330"/>
    <w:rsid w:val="006F27D6"/>
    <w:rsid w:val="006F2AEB"/>
    <w:rsid w:val="006F2B7F"/>
    <w:rsid w:val="006F2D26"/>
    <w:rsid w:val="006F2D5B"/>
    <w:rsid w:val="006F2F40"/>
    <w:rsid w:val="006F3108"/>
    <w:rsid w:val="006F32BD"/>
    <w:rsid w:val="006F3350"/>
    <w:rsid w:val="006F3387"/>
    <w:rsid w:val="006F3523"/>
    <w:rsid w:val="006F3546"/>
    <w:rsid w:val="006F3559"/>
    <w:rsid w:val="006F364B"/>
    <w:rsid w:val="006F3A20"/>
    <w:rsid w:val="006F3A84"/>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A65"/>
    <w:rsid w:val="006F5CEF"/>
    <w:rsid w:val="006F5D54"/>
    <w:rsid w:val="006F5E20"/>
    <w:rsid w:val="006F5F07"/>
    <w:rsid w:val="006F601C"/>
    <w:rsid w:val="006F60DE"/>
    <w:rsid w:val="006F6326"/>
    <w:rsid w:val="006F63B2"/>
    <w:rsid w:val="006F6481"/>
    <w:rsid w:val="006F6632"/>
    <w:rsid w:val="006F6D20"/>
    <w:rsid w:val="006F6E14"/>
    <w:rsid w:val="006F6EF7"/>
    <w:rsid w:val="006F6F16"/>
    <w:rsid w:val="006F70C6"/>
    <w:rsid w:val="006F7115"/>
    <w:rsid w:val="006F7167"/>
    <w:rsid w:val="006F7244"/>
    <w:rsid w:val="006F72E1"/>
    <w:rsid w:val="006F7342"/>
    <w:rsid w:val="006F743F"/>
    <w:rsid w:val="006F7587"/>
    <w:rsid w:val="006F75D6"/>
    <w:rsid w:val="006F7791"/>
    <w:rsid w:val="006F7915"/>
    <w:rsid w:val="006F7981"/>
    <w:rsid w:val="006F7E53"/>
    <w:rsid w:val="006F7F8A"/>
    <w:rsid w:val="0070000B"/>
    <w:rsid w:val="007001DC"/>
    <w:rsid w:val="00700298"/>
    <w:rsid w:val="00700321"/>
    <w:rsid w:val="0070037A"/>
    <w:rsid w:val="007003C2"/>
    <w:rsid w:val="00700451"/>
    <w:rsid w:val="00700975"/>
    <w:rsid w:val="007009A7"/>
    <w:rsid w:val="00700AAC"/>
    <w:rsid w:val="00700B67"/>
    <w:rsid w:val="00700E71"/>
    <w:rsid w:val="00700FF8"/>
    <w:rsid w:val="0070110E"/>
    <w:rsid w:val="00701189"/>
    <w:rsid w:val="007011E2"/>
    <w:rsid w:val="00701290"/>
    <w:rsid w:val="00701674"/>
    <w:rsid w:val="007016E0"/>
    <w:rsid w:val="00701702"/>
    <w:rsid w:val="00701886"/>
    <w:rsid w:val="00701912"/>
    <w:rsid w:val="00701C18"/>
    <w:rsid w:val="00701DA1"/>
    <w:rsid w:val="00701DD3"/>
    <w:rsid w:val="00701E1E"/>
    <w:rsid w:val="00701EC3"/>
    <w:rsid w:val="00702081"/>
    <w:rsid w:val="007022BB"/>
    <w:rsid w:val="007022D0"/>
    <w:rsid w:val="00702439"/>
    <w:rsid w:val="0070246C"/>
    <w:rsid w:val="00702767"/>
    <w:rsid w:val="00702996"/>
    <w:rsid w:val="00702B11"/>
    <w:rsid w:val="00702E84"/>
    <w:rsid w:val="00703049"/>
    <w:rsid w:val="0070337D"/>
    <w:rsid w:val="007034C4"/>
    <w:rsid w:val="007035EC"/>
    <w:rsid w:val="007036C2"/>
    <w:rsid w:val="007037DB"/>
    <w:rsid w:val="00703A8D"/>
    <w:rsid w:val="00703B2F"/>
    <w:rsid w:val="00703D54"/>
    <w:rsid w:val="00703E47"/>
    <w:rsid w:val="00703E8A"/>
    <w:rsid w:val="00703F6E"/>
    <w:rsid w:val="00703FEE"/>
    <w:rsid w:val="00704036"/>
    <w:rsid w:val="0070431D"/>
    <w:rsid w:val="0070439D"/>
    <w:rsid w:val="007043E7"/>
    <w:rsid w:val="007044BC"/>
    <w:rsid w:val="0070484D"/>
    <w:rsid w:val="00704953"/>
    <w:rsid w:val="007049CC"/>
    <w:rsid w:val="00704ABF"/>
    <w:rsid w:val="00704ADE"/>
    <w:rsid w:val="00704B76"/>
    <w:rsid w:val="0070527B"/>
    <w:rsid w:val="007056D3"/>
    <w:rsid w:val="0070582A"/>
    <w:rsid w:val="0070585E"/>
    <w:rsid w:val="007058A7"/>
    <w:rsid w:val="007058C9"/>
    <w:rsid w:val="00705C8E"/>
    <w:rsid w:val="00705DE8"/>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F03"/>
    <w:rsid w:val="0070700E"/>
    <w:rsid w:val="0070737F"/>
    <w:rsid w:val="00707492"/>
    <w:rsid w:val="0070756A"/>
    <w:rsid w:val="007075A3"/>
    <w:rsid w:val="007075B3"/>
    <w:rsid w:val="007075CF"/>
    <w:rsid w:val="00707635"/>
    <w:rsid w:val="007076FC"/>
    <w:rsid w:val="0070783E"/>
    <w:rsid w:val="007079E4"/>
    <w:rsid w:val="00707B1A"/>
    <w:rsid w:val="00707BCD"/>
    <w:rsid w:val="00707BD9"/>
    <w:rsid w:val="00707C6B"/>
    <w:rsid w:val="00707DAA"/>
    <w:rsid w:val="00707E27"/>
    <w:rsid w:val="00707E60"/>
    <w:rsid w:val="00707F08"/>
    <w:rsid w:val="00707FA7"/>
    <w:rsid w:val="00710006"/>
    <w:rsid w:val="00710064"/>
    <w:rsid w:val="0071011C"/>
    <w:rsid w:val="00710145"/>
    <w:rsid w:val="00710384"/>
    <w:rsid w:val="00710386"/>
    <w:rsid w:val="00710479"/>
    <w:rsid w:val="007105EE"/>
    <w:rsid w:val="0071062B"/>
    <w:rsid w:val="007107BE"/>
    <w:rsid w:val="0071085C"/>
    <w:rsid w:val="00710A4A"/>
    <w:rsid w:val="00710BDC"/>
    <w:rsid w:val="00710CFC"/>
    <w:rsid w:val="00710DF0"/>
    <w:rsid w:val="00711035"/>
    <w:rsid w:val="00711232"/>
    <w:rsid w:val="0071124F"/>
    <w:rsid w:val="0071131B"/>
    <w:rsid w:val="007113A4"/>
    <w:rsid w:val="007113E5"/>
    <w:rsid w:val="007117EA"/>
    <w:rsid w:val="00711886"/>
    <w:rsid w:val="007118BB"/>
    <w:rsid w:val="00711A8E"/>
    <w:rsid w:val="00711B1A"/>
    <w:rsid w:val="00711F1B"/>
    <w:rsid w:val="00711F9D"/>
    <w:rsid w:val="00711FA4"/>
    <w:rsid w:val="0071220C"/>
    <w:rsid w:val="0071234C"/>
    <w:rsid w:val="0071255D"/>
    <w:rsid w:val="0071266C"/>
    <w:rsid w:val="00712897"/>
    <w:rsid w:val="007128D6"/>
    <w:rsid w:val="007128E9"/>
    <w:rsid w:val="007128EA"/>
    <w:rsid w:val="007129CC"/>
    <w:rsid w:val="007129EA"/>
    <w:rsid w:val="00712A5C"/>
    <w:rsid w:val="00712B61"/>
    <w:rsid w:val="00712C75"/>
    <w:rsid w:val="00712C97"/>
    <w:rsid w:val="00712CC3"/>
    <w:rsid w:val="00712D38"/>
    <w:rsid w:val="00712E8A"/>
    <w:rsid w:val="00712F9D"/>
    <w:rsid w:val="00712FB9"/>
    <w:rsid w:val="00713040"/>
    <w:rsid w:val="00713116"/>
    <w:rsid w:val="007132B2"/>
    <w:rsid w:val="007132BF"/>
    <w:rsid w:val="007133BB"/>
    <w:rsid w:val="00713533"/>
    <w:rsid w:val="00713721"/>
    <w:rsid w:val="00713755"/>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CB"/>
    <w:rsid w:val="0071537E"/>
    <w:rsid w:val="00715410"/>
    <w:rsid w:val="0071554B"/>
    <w:rsid w:val="00715782"/>
    <w:rsid w:val="007157D4"/>
    <w:rsid w:val="007158D1"/>
    <w:rsid w:val="0071599F"/>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E30"/>
    <w:rsid w:val="00716F1C"/>
    <w:rsid w:val="00716F95"/>
    <w:rsid w:val="00717011"/>
    <w:rsid w:val="007170E5"/>
    <w:rsid w:val="00717167"/>
    <w:rsid w:val="00717356"/>
    <w:rsid w:val="00717544"/>
    <w:rsid w:val="007176C2"/>
    <w:rsid w:val="0071798B"/>
    <w:rsid w:val="007179EB"/>
    <w:rsid w:val="00717BB1"/>
    <w:rsid w:val="00717E4B"/>
    <w:rsid w:val="00717E7E"/>
    <w:rsid w:val="00717EE5"/>
    <w:rsid w:val="00717FA0"/>
    <w:rsid w:val="007201A0"/>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EFD"/>
    <w:rsid w:val="00722F0D"/>
    <w:rsid w:val="00723567"/>
    <w:rsid w:val="007235EC"/>
    <w:rsid w:val="007237A1"/>
    <w:rsid w:val="007237B5"/>
    <w:rsid w:val="00723B2C"/>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D6"/>
    <w:rsid w:val="00725A9B"/>
    <w:rsid w:val="00725AEF"/>
    <w:rsid w:val="00725CEB"/>
    <w:rsid w:val="00725E73"/>
    <w:rsid w:val="00725F60"/>
    <w:rsid w:val="00726458"/>
    <w:rsid w:val="00726483"/>
    <w:rsid w:val="00726488"/>
    <w:rsid w:val="0072654E"/>
    <w:rsid w:val="0072657D"/>
    <w:rsid w:val="00726A01"/>
    <w:rsid w:val="00726BCE"/>
    <w:rsid w:val="00726E5C"/>
    <w:rsid w:val="00726ED6"/>
    <w:rsid w:val="00726EFA"/>
    <w:rsid w:val="00726EFB"/>
    <w:rsid w:val="00726FDD"/>
    <w:rsid w:val="00727065"/>
    <w:rsid w:val="00727307"/>
    <w:rsid w:val="007274D2"/>
    <w:rsid w:val="007275B7"/>
    <w:rsid w:val="00727712"/>
    <w:rsid w:val="00727911"/>
    <w:rsid w:val="00727B19"/>
    <w:rsid w:val="00727B76"/>
    <w:rsid w:val="00727C83"/>
    <w:rsid w:val="00727E24"/>
    <w:rsid w:val="00727E8D"/>
    <w:rsid w:val="00727F62"/>
    <w:rsid w:val="0073046C"/>
    <w:rsid w:val="007305B7"/>
    <w:rsid w:val="007307AE"/>
    <w:rsid w:val="007308EE"/>
    <w:rsid w:val="00730933"/>
    <w:rsid w:val="00730CBB"/>
    <w:rsid w:val="00730DE1"/>
    <w:rsid w:val="00730EE8"/>
    <w:rsid w:val="00731003"/>
    <w:rsid w:val="0073104E"/>
    <w:rsid w:val="00731067"/>
    <w:rsid w:val="007311F8"/>
    <w:rsid w:val="007312FE"/>
    <w:rsid w:val="00731307"/>
    <w:rsid w:val="00731369"/>
    <w:rsid w:val="007317DA"/>
    <w:rsid w:val="00731911"/>
    <w:rsid w:val="00731BE5"/>
    <w:rsid w:val="00731C85"/>
    <w:rsid w:val="00731DBF"/>
    <w:rsid w:val="00731FE8"/>
    <w:rsid w:val="0073208E"/>
    <w:rsid w:val="00732293"/>
    <w:rsid w:val="007323F9"/>
    <w:rsid w:val="00732488"/>
    <w:rsid w:val="0073252D"/>
    <w:rsid w:val="00732600"/>
    <w:rsid w:val="007326B4"/>
    <w:rsid w:val="007327F2"/>
    <w:rsid w:val="00732C18"/>
    <w:rsid w:val="00732F18"/>
    <w:rsid w:val="00732F32"/>
    <w:rsid w:val="0073301A"/>
    <w:rsid w:val="00733060"/>
    <w:rsid w:val="00733074"/>
    <w:rsid w:val="00733133"/>
    <w:rsid w:val="00733162"/>
    <w:rsid w:val="00733380"/>
    <w:rsid w:val="007333A7"/>
    <w:rsid w:val="007333AD"/>
    <w:rsid w:val="007333C0"/>
    <w:rsid w:val="007335CB"/>
    <w:rsid w:val="00733618"/>
    <w:rsid w:val="007339D8"/>
    <w:rsid w:val="00733AC9"/>
    <w:rsid w:val="00733CF2"/>
    <w:rsid w:val="00733D1B"/>
    <w:rsid w:val="00733DE3"/>
    <w:rsid w:val="00733E76"/>
    <w:rsid w:val="00733F20"/>
    <w:rsid w:val="00733F37"/>
    <w:rsid w:val="00733F84"/>
    <w:rsid w:val="00734038"/>
    <w:rsid w:val="007341DD"/>
    <w:rsid w:val="00734292"/>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B23"/>
    <w:rsid w:val="00737C95"/>
    <w:rsid w:val="00737E39"/>
    <w:rsid w:val="00737EC1"/>
    <w:rsid w:val="00737F58"/>
    <w:rsid w:val="007402D5"/>
    <w:rsid w:val="007405AD"/>
    <w:rsid w:val="007405E8"/>
    <w:rsid w:val="0074079C"/>
    <w:rsid w:val="00740893"/>
    <w:rsid w:val="0074099E"/>
    <w:rsid w:val="00740A41"/>
    <w:rsid w:val="00740B5A"/>
    <w:rsid w:val="00740B82"/>
    <w:rsid w:val="00740BD3"/>
    <w:rsid w:val="00740E0C"/>
    <w:rsid w:val="00740F25"/>
    <w:rsid w:val="0074108D"/>
    <w:rsid w:val="007410FC"/>
    <w:rsid w:val="00741235"/>
    <w:rsid w:val="0074127A"/>
    <w:rsid w:val="007414C8"/>
    <w:rsid w:val="007416BF"/>
    <w:rsid w:val="0074187C"/>
    <w:rsid w:val="007418D5"/>
    <w:rsid w:val="007418E7"/>
    <w:rsid w:val="007420D3"/>
    <w:rsid w:val="007420F0"/>
    <w:rsid w:val="007426F3"/>
    <w:rsid w:val="007427E4"/>
    <w:rsid w:val="00742A42"/>
    <w:rsid w:val="00742B51"/>
    <w:rsid w:val="00742D6B"/>
    <w:rsid w:val="00742DC2"/>
    <w:rsid w:val="00742E32"/>
    <w:rsid w:val="00742E80"/>
    <w:rsid w:val="00743202"/>
    <w:rsid w:val="0074365E"/>
    <w:rsid w:val="00743717"/>
    <w:rsid w:val="0074399C"/>
    <w:rsid w:val="007439D9"/>
    <w:rsid w:val="00743A3B"/>
    <w:rsid w:val="00743C53"/>
    <w:rsid w:val="00743CB4"/>
    <w:rsid w:val="00743CD6"/>
    <w:rsid w:val="00743E6A"/>
    <w:rsid w:val="00744004"/>
    <w:rsid w:val="00744007"/>
    <w:rsid w:val="0074408C"/>
    <w:rsid w:val="0074434E"/>
    <w:rsid w:val="00744AE6"/>
    <w:rsid w:val="00744D36"/>
    <w:rsid w:val="00744E7A"/>
    <w:rsid w:val="00744FE2"/>
    <w:rsid w:val="00745018"/>
    <w:rsid w:val="0074530E"/>
    <w:rsid w:val="007453E9"/>
    <w:rsid w:val="007454C3"/>
    <w:rsid w:val="007456F5"/>
    <w:rsid w:val="00745732"/>
    <w:rsid w:val="007459F1"/>
    <w:rsid w:val="00745B54"/>
    <w:rsid w:val="00745D09"/>
    <w:rsid w:val="007460F5"/>
    <w:rsid w:val="00746225"/>
    <w:rsid w:val="007462E5"/>
    <w:rsid w:val="007463E3"/>
    <w:rsid w:val="0074644E"/>
    <w:rsid w:val="0074660C"/>
    <w:rsid w:val="007466B2"/>
    <w:rsid w:val="007466CC"/>
    <w:rsid w:val="007467DA"/>
    <w:rsid w:val="00746910"/>
    <w:rsid w:val="007469FF"/>
    <w:rsid w:val="00746A02"/>
    <w:rsid w:val="00746A87"/>
    <w:rsid w:val="00746C96"/>
    <w:rsid w:val="00746D6B"/>
    <w:rsid w:val="007470CF"/>
    <w:rsid w:val="00747290"/>
    <w:rsid w:val="0074738D"/>
    <w:rsid w:val="0074747B"/>
    <w:rsid w:val="007474AB"/>
    <w:rsid w:val="00747663"/>
    <w:rsid w:val="00747888"/>
    <w:rsid w:val="007478BB"/>
    <w:rsid w:val="00747B1A"/>
    <w:rsid w:val="00747CB0"/>
    <w:rsid w:val="00747CD3"/>
    <w:rsid w:val="00747F0D"/>
    <w:rsid w:val="00747F2B"/>
    <w:rsid w:val="0075019D"/>
    <w:rsid w:val="007505BC"/>
    <w:rsid w:val="0075061A"/>
    <w:rsid w:val="00750779"/>
    <w:rsid w:val="007508EA"/>
    <w:rsid w:val="00750926"/>
    <w:rsid w:val="00750B75"/>
    <w:rsid w:val="00750BE5"/>
    <w:rsid w:val="00750C1F"/>
    <w:rsid w:val="00750C7D"/>
    <w:rsid w:val="00750F0B"/>
    <w:rsid w:val="00750F8B"/>
    <w:rsid w:val="007513D0"/>
    <w:rsid w:val="007514EE"/>
    <w:rsid w:val="00751543"/>
    <w:rsid w:val="007515AD"/>
    <w:rsid w:val="0075181F"/>
    <w:rsid w:val="00751F92"/>
    <w:rsid w:val="007521CC"/>
    <w:rsid w:val="007522D9"/>
    <w:rsid w:val="00752720"/>
    <w:rsid w:val="007527BC"/>
    <w:rsid w:val="007527E9"/>
    <w:rsid w:val="00752855"/>
    <w:rsid w:val="007529CC"/>
    <w:rsid w:val="00752B6A"/>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CE"/>
    <w:rsid w:val="0075450F"/>
    <w:rsid w:val="0075465C"/>
    <w:rsid w:val="00754ACB"/>
    <w:rsid w:val="00754AD3"/>
    <w:rsid w:val="00754D99"/>
    <w:rsid w:val="00754ED0"/>
    <w:rsid w:val="0075505F"/>
    <w:rsid w:val="00755114"/>
    <w:rsid w:val="0075514B"/>
    <w:rsid w:val="0075514C"/>
    <w:rsid w:val="0075529C"/>
    <w:rsid w:val="007552A9"/>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8C"/>
    <w:rsid w:val="00756CA0"/>
    <w:rsid w:val="00756D61"/>
    <w:rsid w:val="00756FE4"/>
    <w:rsid w:val="0075705D"/>
    <w:rsid w:val="007571EB"/>
    <w:rsid w:val="0075724E"/>
    <w:rsid w:val="007572C7"/>
    <w:rsid w:val="0075737B"/>
    <w:rsid w:val="007573C9"/>
    <w:rsid w:val="007579D1"/>
    <w:rsid w:val="00757A2D"/>
    <w:rsid w:val="00757C23"/>
    <w:rsid w:val="00757C90"/>
    <w:rsid w:val="00757D27"/>
    <w:rsid w:val="00757DFD"/>
    <w:rsid w:val="007600AB"/>
    <w:rsid w:val="00760228"/>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BA7"/>
    <w:rsid w:val="00761BEB"/>
    <w:rsid w:val="00761CC1"/>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24C"/>
    <w:rsid w:val="0076435B"/>
    <w:rsid w:val="007644FA"/>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A0E"/>
    <w:rsid w:val="00766AA7"/>
    <w:rsid w:val="00766B38"/>
    <w:rsid w:val="00766B5E"/>
    <w:rsid w:val="00766C4F"/>
    <w:rsid w:val="00766D22"/>
    <w:rsid w:val="00766D3A"/>
    <w:rsid w:val="00767018"/>
    <w:rsid w:val="00767244"/>
    <w:rsid w:val="00767566"/>
    <w:rsid w:val="0076781F"/>
    <w:rsid w:val="0076787A"/>
    <w:rsid w:val="0076794C"/>
    <w:rsid w:val="00767B62"/>
    <w:rsid w:val="00767CCE"/>
    <w:rsid w:val="00767ED4"/>
    <w:rsid w:val="00767F68"/>
    <w:rsid w:val="007701FF"/>
    <w:rsid w:val="00770329"/>
    <w:rsid w:val="0077049B"/>
    <w:rsid w:val="00770742"/>
    <w:rsid w:val="0077089B"/>
    <w:rsid w:val="00770CE5"/>
    <w:rsid w:val="00770E85"/>
    <w:rsid w:val="00770EEC"/>
    <w:rsid w:val="007711B5"/>
    <w:rsid w:val="007713B8"/>
    <w:rsid w:val="0077140B"/>
    <w:rsid w:val="007714D4"/>
    <w:rsid w:val="00771537"/>
    <w:rsid w:val="0077175E"/>
    <w:rsid w:val="007718EE"/>
    <w:rsid w:val="00771A69"/>
    <w:rsid w:val="00771BE7"/>
    <w:rsid w:val="00771C2F"/>
    <w:rsid w:val="00771D67"/>
    <w:rsid w:val="007721AC"/>
    <w:rsid w:val="00772250"/>
    <w:rsid w:val="0077226E"/>
    <w:rsid w:val="007723C0"/>
    <w:rsid w:val="007726E6"/>
    <w:rsid w:val="00772850"/>
    <w:rsid w:val="007728F4"/>
    <w:rsid w:val="00772A70"/>
    <w:rsid w:val="00772CF5"/>
    <w:rsid w:val="00772EC5"/>
    <w:rsid w:val="007738B2"/>
    <w:rsid w:val="0077415E"/>
    <w:rsid w:val="0077428B"/>
    <w:rsid w:val="0077429B"/>
    <w:rsid w:val="0077447A"/>
    <w:rsid w:val="0077450B"/>
    <w:rsid w:val="00774601"/>
    <w:rsid w:val="00774841"/>
    <w:rsid w:val="00774AC3"/>
    <w:rsid w:val="00774C1A"/>
    <w:rsid w:val="00774CC3"/>
    <w:rsid w:val="00774D93"/>
    <w:rsid w:val="00775029"/>
    <w:rsid w:val="00775137"/>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006"/>
    <w:rsid w:val="007761C8"/>
    <w:rsid w:val="00776291"/>
    <w:rsid w:val="0077644E"/>
    <w:rsid w:val="007765E4"/>
    <w:rsid w:val="007766FA"/>
    <w:rsid w:val="00776937"/>
    <w:rsid w:val="007769F3"/>
    <w:rsid w:val="00776C20"/>
    <w:rsid w:val="00776F68"/>
    <w:rsid w:val="00776FC1"/>
    <w:rsid w:val="00777052"/>
    <w:rsid w:val="00777055"/>
    <w:rsid w:val="0077732D"/>
    <w:rsid w:val="007774DE"/>
    <w:rsid w:val="0077772A"/>
    <w:rsid w:val="00777853"/>
    <w:rsid w:val="00777874"/>
    <w:rsid w:val="007778D3"/>
    <w:rsid w:val="0077791B"/>
    <w:rsid w:val="00777ABF"/>
    <w:rsid w:val="00777CC6"/>
    <w:rsid w:val="00777CE2"/>
    <w:rsid w:val="00777EBA"/>
    <w:rsid w:val="00777EE1"/>
    <w:rsid w:val="00777F9F"/>
    <w:rsid w:val="007804C6"/>
    <w:rsid w:val="00780612"/>
    <w:rsid w:val="00780654"/>
    <w:rsid w:val="00780660"/>
    <w:rsid w:val="00780708"/>
    <w:rsid w:val="00780D1E"/>
    <w:rsid w:val="00780E86"/>
    <w:rsid w:val="00780E9C"/>
    <w:rsid w:val="00780F7C"/>
    <w:rsid w:val="00781047"/>
    <w:rsid w:val="0078107F"/>
    <w:rsid w:val="00781234"/>
    <w:rsid w:val="00781241"/>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92B"/>
    <w:rsid w:val="00782EA6"/>
    <w:rsid w:val="00782EFC"/>
    <w:rsid w:val="00783107"/>
    <w:rsid w:val="007831E5"/>
    <w:rsid w:val="007834A4"/>
    <w:rsid w:val="0078350E"/>
    <w:rsid w:val="0078360F"/>
    <w:rsid w:val="007837E1"/>
    <w:rsid w:val="007838A7"/>
    <w:rsid w:val="00783A04"/>
    <w:rsid w:val="00783A47"/>
    <w:rsid w:val="00783AFC"/>
    <w:rsid w:val="00783CC3"/>
    <w:rsid w:val="0078448A"/>
    <w:rsid w:val="007844F5"/>
    <w:rsid w:val="0078454B"/>
    <w:rsid w:val="00784613"/>
    <w:rsid w:val="007846BC"/>
    <w:rsid w:val="007847E9"/>
    <w:rsid w:val="007847F8"/>
    <w:rsid w:val="007848D9"/>
    <w:rsid w:val="00784A55"/>
    <w:rsid w:val="00784C22"/>
    <w:rsid w:val="00784E97"/>
    <w:rsid w:val="00784F2D"/>
    <w:rsid w:val="00784F31"/>
    <w:rsid w:val="007853CA"/>
    <w:rsid w:val="00785548"/>
    <w:rsid w:val="007855E3"/>
    <w:rsid w:val="00785696"/>
    <w:rsid w:val="0078584B"/>
    <w:rsid w:val="0078596F"/>
    <w:rsid w:val="00785973"/>
    <w:rsid w:val="00785998"/>
    <w:rsid w:val="00785BE7"/>
    <w:rsid w:val="00785C55"/>
    <w:rsid w:val="00785CD2"/>
    <w:rsid w:val="00785E07"/>
    <w:rsid w:val="00785E0E"/>
    <w:rsid w:val="00786029"/>
    <w:rsid w:val="00786281"/>
    <w:rsid w:val="007862F4"/>
    <w:rsid w:val="007863A6"/>
    <w:rsid w:val="007863C5"/>
    <w:rsid w:val="007864D5"/>
    <w:rsid w:val="0078654B"/>
    <w:rsid w:val="007869CB"/>
    <w:rsid w:val="00786AB5"/>
    <w:rsid w:val="00786C0A"/>
    <w:rsid w:val="00786C20"/>
    <w:rsid w:val="00786C83"/>
    <w:rsid w:val="00786D10"/>
    <w:rsid w:val="00786F60"/>
    <w:rsid w:val="0078707E"/>
    <w:rsid w:val="0078747E"/>
    <w:rsid w:val="00787487"/>
    <w:rsid w:val="007874E9"/>
    <w:rsid w:val="007874EC"/>
    <w:rsid w:val="00787663"/>
    <w:rsid w:val="00787667"/>
    <w:rsid w:val="007876C8"/>
    <w:rsid w:val="00787C2E"/>
    <w:rsid w:val="00787CFC"/>
    <w:rsid w:val="00787D5F"/>
    <w:rsid w:val="00787F17"/>
    <w:rsid w:val="00790190"/>
    <w:rsid w:val="0079019B"/>
    <w:rsid w:val="00790782"/>
    <w:rsid w:val="00790FD9"/>
    <w:rsid w:val="007911D1"/>
    <w:rsid w:val="00791259"/>
    <w:rsid w:val="0079127C"/>
    <w:rsid w:val="00791305"/>
    <w:rsid w:val="00791325"/>
    <w:rsid w:val="0079171D"/>
    <w:rsid w:val="0079177E"/>
    <w:rsid w:val="00791B36"/>
    <w:rsid w:val="00791E4D"/>
    <w:rsid w:val="00791E60"/>
    <w:rsid w:val="007920FF"/>
    <w:rsid w:val="007924E0"/>
    <w:rsid w:val="0079292F"/>
    <w:rsid w:val="00792990"/>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B1"/>
    <w:rsid w:val="007945DD"/>
    <w:rsid w:val="007946B0"/>
    <w:rsid w:val="00794700"/>
    <w:rsid w:val="007948D9"/>
    <w:rsid w:val="00794B0D"/>
    <w:rsid w:val="00794B91"/>
    <w:rsid w:val="00794ED8"/>
    <w:rsid w:val="007950AB"/>
    <w:rsid w:val="007955C1"/>
    <w:rsid w:val="00795718"/>
    <w:rsid w:val="00795AB5"/>
    <w:rsid w:val="00795E06"/>
    <w:rsid w:val="007960E8"/>
    <w:rsid w:val="00796494"/>
    <w:rsid w:val="007968C3"/>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45"/>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F36"/>
    <w:rsid w:val="007A2F70"/>
    <w:rsid w:val="007A3082"/>
    <w:rsid w:val="007A30A0"/>
    <w:rsid w:val="007A32CF"/>
    <w:rsid w:val="007A3341"/>
    <w:rsid w:val="007A34E6"/>
    <w:rsid w:val="007A358A"/>
    <w:rsid w:val="007A35C3"/>
    <w:rsid w:val="007A391B"/>
    <w:rsid w:val="007A3EB0"/>
    <w:rsid w:val="007A3ECB"/>
    <w:rsid w:val="007A3EE0"/>
    <w:rsid w:val="007A40D4"/>
    <w:rsid w:val="007A4426"/>
    <w:rsid w:val="007A4AAC"/>
    <w:rsid w:val="007A4B6E"/>
    <w:rsid w:val="007A4D24"/>
    <w:rsid w:val="007A4DB9"/>
    <w:rsid w:val="007A4F81"/>
    <w:rsid w:val="007A506F"/>
    <w:rsid w:val="007A50D3"/>
    <w:rsid w:val="007A5176"/>
    <w:rsid w:val="007A51C7"/>
    <w:rsid w:val="007A5426"/>
    <w:rsid w:val="007A56D2"/>
    <w:rsid w:val="007A578F"/>
    <w:rsid w:val="007A5967"/>
    <w:rsid w:val="007A5B60"/>
    <w:rsid w:val="007A5BE7"/>
    <w:rsid w:val="007A5CB1"/>
    <w:rsid w:val="007A5DE2"/>
    <w:rsid w:val="007A5E7B"/>
    <w:rsid w:val="007A5EA5"/>
    <w:rsid w:val="007A5EB1"/>
    <w:rsid w:val="007A5F26"/>
    <w:rsid w:val="007A61FC"/>
    <w:rsid w:val="007A62A0"/>
    <w:rsid w:val="007A6384"/>
    <w:rsid w:val="007A650C"/>
    <w:rsid w:val="007A6635"/>
    <w:rsid w:val="007A6809"/>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BCF"/>
    <w:rsid w:val="007B0C64"/>
    <w:rsid w:val="007B0E68"/>
    <w:rsid w:val="007B0EB3"/>
    <w:rsid w:val="007B0FB3"/>
    <w:rsid w:val="007B106A"/>
    <w:rsid w:val="007B1074"/>
    <w:rsid w:val="007B138C"/>
    <w:rsid w:val="007B13F3"/>
    <w:rsid w:val="007B1420"/>
    <w:rsid w:val="007B1489"/>
    <w:rsid w:val="007B15C2"/>
    <w:rsid w:val="007B17D2"/>
    <w:rsid w:val="007B1941"/>
    <w:rsid w:val="007B1A61"/>
    <w:rsid w:val="007B1BDD"/>
    <w:rsid w:val="007B1C09"/>
    <w:rsid w:val="007B204C"/>
    <w:rsid w:val="007B22B2"/>
    <w:rsid w:val="007B2319"/>
    <w:rsid w:val="007B2358"/>
    <w:rsid w:val="007B237E"/>
    <w:rsid w:val="007B2418"/>
    <w:rsid w:val="007B2496"/>
    <w:rsid w:val="007B2598"/>
    <w:rsid w:val="007B26BA"/>
    <w:rsid w:val="007B2892"/>
    <w:rsid w:val="007B2904"/>
    <w:rsid w:val="007B292C"/>
    <w:rsid w:val="007B3061"/>
    <w:rsid w:val="007B332F"/>
    <w:rsid w:val="007B33C0"/>
    <w:rsid w:val="007B34FA"/>
    <w:rsid w:val="007B3B28"/>
    <w:rsid w:val="007B3BC9"/>
    <w:rsid w:val="007B3D86"/>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AFD"/>
    <w:rsid w:val="007B5B3A"/>
    <w:rsid w:val="007B5C65"/>
    <w:rsid w:val="007B5D40"/>
    <w:rsid w:val="007B6008"/>
    <w:rsid w:val="007B62F6"/>
    <w:rsid w:val="007B6397"/>
    <w:rsid w:val="007B6684"/>
    <w:rsid w:val="007B67FF"/>
    <w:rsid w:val="007B6872"/>
    <w:rsid w:val="007B69A0"/>
    <w:rsid w:val="007B6A9E"/>
    <w:rsid w:val="007B6B33"/>
    <w:rsid w:val="007B6C05"/>
    <w:rsid w:val="007B7041"/>
    <w:rsid w:val="007B70EB"/>
    <w:rsid w:val="007B70FD"/>
    <w:rsid w:val="007B721D"/>
    <w:rsid w:val="007B7345"/>
    <w:rsid w:val="007B772B"/>
    <w:rsid w:val="007B7984"/>
    <w:rsid w:val="007B7A85"/>
    <w:rsid w:val="007B7C1A"/>
    <w:rsid w:val="007B7C8D"/>
    <w:rsid w:val="007B7CC6"/>
    <w:rsid w:val="007B7DD6"/>
    <w:rsid w:val="007C04AD"/>
    <w:rsid w:val="007C0561"/>
    <w:rsid w:val="007C05DA"/>
    <w:rsid w:val="007C07FE"/>
    <w:rsid w:val="007C09A4"/>
    <w:rsid w:val="007C0E06"/>
    <w:rsid w:val="007C0E4E"/>
    <w:rsid w:val="007C0F61"/>
    <w:rsid w:val="007C1108"/>
    <w:rsid w:val="007C11BE"/>
    <w:rsid w:val="007C12BB"/>
    <w:rsid w:val="007C1C04"/>
    <w:rsid w:val="007C1D43"/>
    <w:rsid w:val="007C1F65"/>
    <w:rsid w:val="007C2065"/>
    <w:rsid w:val="007C2214"/>
    <w:rsid w:val="007C2423"/>
    <w:rsid w:val="007C259E"/>
    <w:rsid w:val="007C26C9"/>
    <w:rsid w:val="007C283A"/>
    <w:rsid w:val="007C297D"/>
    <w:rsid w:val="007C2AEF"/>
    <w:rsid w:val="007C2BB4"/>
    <w:rsid w:val="007C3458"/>
    <w:rsid w:val="007C3564"/>
    <w:rsid w:val="007C37D8"/>
    <w:rsid w:val="007C37FF"/>
    <w:rsid w:val="007C3A7A"/>
    <w:rsid w:val="007C3B83"/>
    <w:rsid w:val="007C3E23"/>
    <w:rsid w:val="007C3F5E"/>
    <w:rsid w:val="007C4017"/>
    <w:rsid w:val="007C40A0"/>
    <w:rsid w:val="007C44F5"/>
    <w:rsid w:val="007C4676"/>
    <w:rsid w:val="007C46E5"/>
    <w:rsid w:val="007C47A7"/>
    <w:rsid w:val="007C49C3"/>
    <w:rsid w:val="007C4C96"/>
    <w:rsid w:val="007C4D65"/>
    <w:rsid w:val="007C5236"/>
    <w:rsid w:val="007C5243"/>
    <w:rsid w:val="007C52D5"/>
    <w:rsid w:val="007C551E"/>
    <w:rsid w:val="007C5AF4"/>
    <w:rsid w:val="007C5D77"/>
    <w:rsid w:val="007C5ECC"/>
    <w:rsid w:val="007C62F2"/>
    <w:rsid w:val="007C644F"/>
    <w:rsid w:val="007C6465"/>
    <w:rsid w:val="007C69EA"/>
    <w:rsid w:val="007C6CEC"/>
    <w:rsid w:val="007C6D52"/>
    <w:rsid w:val="007C6DA5"/>
    <w:rsid w:val="007C6DAC"/>
    <w:rsid w:val="007C6F0E"/>
    <w:rsid w:val="007C7008"/>
    <w:rsid w:val="007C73D4"/>
    <w:rsid w:val="007C7455"/>
    <w:rsid w:val="007C7500"/>
    <w:rsid w:val="007C75F7"/>
    <w:rsid w:val="007C76BD"/>
    <w:rsid w:val="007C781D"/>
    <w:rsid w:val="007C7B21"/>
    <w:rsid w:val="007C7B83"/>
    <w:rsid w:val="007C7BDA"/>
    <w:rsid w:val="007C7BF5"/>
    <w:rsid w:val="007C7CC1"/>
    <w:rsid w:val="007C7DA0"/>
    <w:rsid w:val="007C7F40"/>
    <w:rsid w:val="007D012B"/>
    <w:rsid w:val="007D05AB"/>
    <w:rsid w:val="007D06C1"/>
    <w:rsid w:val="007D07D7"/>
    <w:rsid w:val="007D0BC1"/>
    <w:rsid w:val="007D0C3D"/>
    <w:rsid w:val="007D0D58"/>
    <w:rsid w:val="007D0D85"/>
    <w:rsid w:val="007D1000"/>
    <w:rsid w:val="007D106D"/>
    <w:rsid w:val="007D121E"/>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5C1"/>
    <w:rsid w:val="007D4673"/>
    <w:rsid w:val="007D46E4"/>
    <w:rsid w:val="007D4724"/>
    <w:rsid w:val="007D4842"/>
    <w:rsid w:val="007D488E"/>
    <w:rsid w:val="007D4A15"/>
    <w:rsid w:val="007D4AAD"/>
    <w:rsid w:val="007D4C39"/>
    <w:rsid w:val="007D516E"/>
    <w:rsid w:val="007D54BA"/>
    <w:rsid w:val="007D5612"/>
    <w:rsid w:val="007D56D1"/>
    <w:rsid w:val="007D571E"/>
    <w:rsid w:val="007D5A9E"/>
    <w:rsid w:val="007D5ADB"/>
    <w:rsid w:val="007D5C3E"/>
    <w:rsid w:val="007D5CE0"/>
    <w:rsid w:val="007D5E1C"/>
    <w:rsid w:val="007D5EE8"/>
    <w:rsid w:val="007D603D"/>
    <w:rsid w:val="007D60B0"/>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CD4"/>
    <w:rsid w:val="007D7D3F"/>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F0C"/>
    <w:rsid w:val="007E1139"/>
    <w:rsid w:val="007E134D"/>
    <w:rsid w:val="007E16E8"/>
    <w:rsid w:val="007E1747"/>
    <w:rsid w:val="007E1840"/>
    <w:rsid w:val="007E1BD1"/>
    <w:rsid w:val="007E1C17"/>
    <w:rsid w:val="007E1CAA"/>
    <w:rsid w:val="007E1D1B"/>
    <w:rsid w:val="007E1DE1"/>
    <w:rsid w:val="007E1F11"/>
    <w:rsid w:val="007E21D8"/>
    <w:rsid w:val="007E21F8"/>
    <w:rsid w:val="007E222B"/>
    <w:rsid w:val="007E298B"/>
    <w:rsid w:val="007E29E5"/>
    <w:rsid w:val="007E2AA9"/>
    <w:rsid w:val="007E2EA1"/>
    <w:rsid w:val="007E2F70"/>
    <w:rsid w:val="007E302A"/>
    <w:rsid w:val="007E3054"/>
    <w:rsid w:val="007E316C"/>
    <w:rsid w:val="007E3227"/>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A62"/>
    <w:rsid w:val="007E4AFB"/>
    <w:rsid w:val="007E4B7E"/>
    <w:rsid w:val="007E4D91"/>
    <w:rsid w:val="007E4E4B"/>
    <w:rsid w:val="007E4F03"/>
    <w:rsid w:val="007E50F2"/>
    <w:rsid w:val="007E5279"/>
    <w:rsid w:val="007E5355"/>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C0D"/>
    <w:rsid w:val="007E6E48"/>
    <w:rsid w:val="007E6E4D"/>
    <w:rsid w:val="007E6E79"/>
    <w:rsid w:val="007E70B4"/>
    <w:rsid w:val="007E72B4"/>
    <w:rsid w:val="007E7316"/>
    <w:rsid w:val="007E738D"/>
    <w:rsid w:val="007E743F"/>
    <w:rsid w:val="007E7466"/>
    <w:rsid w:val="007E7470"/>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5DC"/>
    <w:rsid w:val="007F2600"/>
    <w:rsid w:val="007F26E8"/>
    <w:rsid w:val="007F271C"/>
    <w:rsid w:val="007F2750"/>
    <w:rsid w:val="007F2B80"/>
    <w:rsid w:val="007F2C5C"/>
    <w:rsid w:val="007F3044"/>
    <w:rsid w:val="007F365E"/>
    <w:rsid w:val="007F3822"/>
    <w:rsid w:val="007F3A5F"/>
    <w:rsid w:val="007F3BCD"/>
    <w:rsid w:val="007F40E8"/>
    <w:rsid w:val="007F40EA"/>
    <w:rsid w:val="007F453B"/>
    <w:rsid w:val="007F458D"/>
    <w:rsid w:val="007F4594"/>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C95"/>
    <w:rsid w:val="007F5DD0"/>
    <w:rsid w:val="007F5E7D"/>
    <w:rsid w:val="007F60AC"/>
    <w:rsid w:val="007F6261"/>
    <w:rsid w:val="007F62BD"/>
    <w:rsid w:val="007F6628"/>
    <w:rsid w:val="007F668C"/>
    <w:rsid w:val="007F673A"/>
    <w:rsid w:val="007F689E"/>
    <w:rsid w:val="007F6952"/>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F7"/>
    <w:rsid w:val="00800B57"/>
    <w:rsid w:val="00800CEB"/>
    <w:rsid w:val="00800CF2"/>
    <w:rsid w:val="00800D91"/>
    <w:rsid w:val="0080109C"/>
    <w:rsid w:val="00801289"/>
    <w:rsid w:val="00801399"/>
    <w:rsid w:val="008014AB"/>
    <w:rsid w:val="008014CD"/>
    <w:rsid w:val="008017E8"/>
    <w:rsid w:val="008018F8"/>
    <w:rsid w:val="00801E65"/>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228"/>
    <w:rsid w:val="0080424A"/>
    <w:rsid w:val="00804376"/>
    <w:rsid w:val="0080462E"/>
    <w:rsid w:val="0080467A"/>
    <w:rsid w:val="0080473F"/>
    <w:rsid w:val="00804997"/>
    <w:rsid w:val="00804BA1"/>
    <w:rsid w:val="00804E35"/>
    <w:rsid w:val="00805275"/>
    <w:rsid w:val="008056D3"/>
    <w:rsid w:val="008057A6"/>
    <w:rsid w:val="00805952"/>
    <w:rsid w:val="00805A13"/>
    <w:rsid w:val="00805A5D"/>
    <w:rsid w:val="00805B38"/>
    <w:rsid w:val="00805B6E"/>
    <w:rsid w:val="00805C06"/>
    <w:rsid w:val="00805C4B"/>
    <w:rsid w:val="00805C7A"/>
    <w:rsid w:val="00805CB0"/>
    <w:rsid w:val="00806048"/>
    <w:rsid w:val="0080608C"/>
    <w:rsid w:val="00806115"/>
    <w:rsid w:val="00806313"/>
    <w:rsid w:val="008063FB"/>
    <w:rsid w:val="00806484"/>
    <w:rsid w:val="00806596"/>
    <w:rsid w:val="0080671D"/>
    <w:rsid w:val="0080696E"/>
    <w:rsid w:val="00806A9E"/>
    <w:rsid w:val="00806B0F"/>
    <w:rsid w:val="00806BD2"/>
    <w:rsid w:val="00806D6D"/>
    <w:rsid w:val="00806F01"/>
    <w:rsid w:val="008070EF"/>
    <w:rsid w:val="00807255"/>
    <w:rsid w:val="00807633"/>
    <w:rsid w:val="008076DA"/>
    <w:rsid w:val="008077DE"/>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FDE"/>
    <w:rsid w:val="0081302D"/>
    <w:rsid w:val="00813089"/>
    <w:rsid w:val="00813204"/>
    <w:rsid w:val="0081330E"/>
    <w:rsid w:val="00813420"/>
    <w:rsid w:val="008134C1"/>
    <w:rsid w:val="008135F9"/>
    <w:rsid w:val="00813AC7"/>
    <w:rsid w:val="00813D50"/>
    <w:rsid w:val="00813D64"/>
    <w:rsid w:val="00813EC9"/>
    <w:rsid w:val="00813F6B"/>
    <w:rsid w:val="00814093"/>
    <w:rsid w:val="008142C8"/>
    <w:rsid w:val="008144BA"/>
    <w:rsid w:val="00814605"/>
    <w:rsid w:val="0081488D"/>
    <w:rsid w:val="0081492F"/>
    <w:rsid w:val="00814C80"/>
    <w:rsid w:val="00814D15"/>
    <w:rsid w:val="00814EA6"/>
    <w:rsid w:val="00814EF9"/>
    <w:rsid w:val="00814F9E"/>
    <w:rsid w:val="00815022"/>
    <w:rsid w:val="00815209"/>
    <w:rsid w:val="008152F3"/>
    <w:rsid w:val="0081545A"/>
    <w:rsid w:val="00815E07"/>
    <w:rsid w:val="00815E1D"/>
    <w:rsid w:val="00815FC7"/>
    <w:rsid w:val="008161A5"/>
    <w:rsid w:val="00816200"/>
    <w:rsid w:val="00816589"/>
    <w:rsid w:val="008167B3"/>
    <w:rsid w:val="00816862"/>
    <w:rsid w:val="008168A4"/>
    <w:rsid w:val="00816C93"/>
    <w:rsid w:val="00816F65"/>
    <w:rsid w:val="0081731E"/>
    <w:rsid w:val="00817635"/>
    <w:rsid w:val="0081765E"/>
    <w:rsid w:val="00817B4A"/>
    <w:rsid w:val="00817C2A"/>
    <w:rsid w:val="00817C9C"/>
    <w:rsid w:val="00817D87"/>
    <w:rsid w:val="00820072"/>
    <w:rsid w:val="008203DD"/>
    <w:rsid w:val="00820481"/>
    <w:rsid w:val="008204B7"/>
    <w:rsid w:val="0082057D"/>
    <w:rsid w:val="0082082F"/>
    <w:rsid w:val="00820836"/>
    <w:rsid w:val="008209D4"/>
    <w:rsid w:val="00820A30"/>
    <w:rsid w:val="00820BA8"/>
    <w:rsid w:val="00820E08"/>
    <w:rsid w:val="00820FC7"/>
    <w:rsid w:val="00821011"/>
    <w:rsid w:val="0082102B"/>
    <w:rsid w:val="00821044"/>
    <w:rsid w:val="00821515"/>
    <w:rsid w:val="008218E8"/>
    <w:rsid w:val="00821A77"/>
    <w:rsid w:val="00821F6C"/>
    <w:rsid w:val="0082214D"/>
    <w:rsid w:val="008221E8"/>
    <w:rsid w:val="0082223F"/>
    <w:rsid w:val="00822245"/>
    <w:rsid w:val="00822544"/>
    <w:rsid w:val="00822650"/>
    <w:rsid w:val="0082267F"/>
    <w:rsid w:val="0082278D"/>
    <w:rsid w:val="008227BE"/>
    <w:rsid w:val="008228AF"/>
    <w:rsid w:val="00822906"/>
    <w:rsid w:val="00822A4F"/>
    <w:rsid w:val="00822C83"/>
    <w:rsid w:val="00822D2A"/>
    <w:rsid w:val="00822D72"/>
    <w:rsid w:val="00822FD7"/>
    <w:rsid w:val="00823228"/>
    <w:rsid w:val="00823422"/>
    <w:rsid w:val="0082364E"/>
    <w:rsid w:val="00823654"/>
    <w:rsid w:val="0082370A"/>
    <w:rsid w:val="00823777"/>
    <w:rsid w:val="00823D3B"/>
    <w:rsid w:val="00824050"/>
    <w:rsid w:val="00824350"/>
    <w:rsid w:val="008245E7"/>
    <w:rsid w:val="00824677"/>
    <w:rsid w:val="008247E2"/>
    <w:rsid w:val="00824A7B"/>
    <w:rsid w:val="00824BA8"/>
    <w:rsid w:val="00824DD4"/>
    <w:rsid w:val="00824EC9"/>
    <w:rsid w:val="0082520A"/>
    <w:rsid w:val="0082543F"/>
    <w:rsid w:val="008254CA"/>
    <w:rsid w:val="008256A3"/>
    <w:rsid w:val="008256E5"/>
    <w:rsid w:val="00825789"/>
    <w:rsid w:val="00825A1D"/>
    <w:rsid w:val="00825B2A"/>
    <w:rsid w:val="00825B54"/>
    <w:rsid w:val="00825CA7"/>
    <w:rsid w:val="00825E31"/>
    <w:rsid w:val="00826017"/>
    <w:rsid w:val="0082612E"/>
    <w:rsid w:val="00826321"/>
    <w:rsid w:val="008263FA"/>
    <w:rsid w:val="00826497"/>
    <w:rsid w:val="008265BE"/>
    <w:rsid w:val="008267DC"/>
    <w:rsid w:val="00826841"/>
    <w:rsid w:val="008268D4"/>
    <w:rsid w:val="00826F3D"/>
    <w:rsid w:val="008270E9"/>
    <w:rsid w:val="008270F2"/>
    <w:rsid w:val="0082719B"/>
    <w:rsid w:val="008272C3"/>
    <w:rsid w:val="008274DE"/>
    <w:rsid w:val="008276C0"/>
    <w:rsid w:val="0082780C"/>
    <w:rsid w:val="00827871"/>
    <w:rsid w:val="00827A64"/>
    <w:rsid w:val="00827A9E"/>
    <w:rsid w:val="00827BE6"/>
    <w:rsid w:val="00827D12"/>
    <w:rsid w:val="00827DC5"/>
    <w:rsid w:val="00827DDF"/>
    <w:rsid w:val="00827EDC"/>
    <w:rsid w:val="008300A7"/>
    <w:rsid w:val="00830111"/>
    <w:rsid w:val="0083015E"/>
    <w:rsid w:val="00830353"/>
    <w:rsid w:val="00830424"/>
    <w:rsid w:val="008304E4"/>
    <w:rsid w:val="00830524"/>
    <w:rsid w:val="00830535"/>
    <w:rsid w:val="008305FF"/>
    <w:rsid w:val="0083061F"/>
    <w:rsid w:val="008306C3"/>
    <w:rsid w:val="00830A80"/>
    <w:rsid w:val="0083116F"/>
    <w:rsid w:val="008313AF"/>
    <w:rsid w:val="008313BE"/>
    <w:rsid w:val="0083165E"/>
    <w:rsid w:val="008316AE"/>
    <w:rsid w:val="008316E4"/>
    <w:rsid w:val="008317EA"/>
    <w:rsid w:val="00831895"/>
    <w:rsid w:val="00831C07"/>
    <w:rsid w:val="00831EE1"/>
    <w:rsid w:val="00831F87"/>
    <w:rsid w:val="00831FE6"/>
    <w:rsid w:val="00832093"/>
    <w:rsid w:val="0083212A"/>
    <w:rsid w:val="008321A2"/>
    <w:rsid w:val="0083264A"/>
    <w:rsid w:val="00832782"/>
    <w:rsid w:val="00832826"/>
    <w:rsid w:val="00832833"/>
    <w:rsid w:val="00832CE2"/>
    <w:rsid w:val="0083311E"/>
    <w:rsid w:val="00833581"/>
    <w:rsid w:val="00834205"/>
    <w:rsid w:val="0083426C"/>
    <w:rsid w:val="00834371"/>
    <w:rsid w:val="00834561"/>
    <w:rsid w:val="00834997"/>
    <w:rsid w:val="00834AB2"/>
    <w:rsid w:val="00834CC0"/>
    <w:rsid w:val="00834FAC"/>
    <w:rsid w:val="008350DE"/>
    <w:rsid w:val="008351B3"/>
    <w:rsid w:val="00835655"/>
    <w:rsid w:val="0083573D"/>
    <w:rsid w:val="00835814"/>
    <w:rsid w:val="00835848"/>
    <w:rsid w:val="00835871"/>
    <w:rsid w:val="00835ADC"/>
    <w:rsid w:val="00835BB9"/>
    <w:rsid w:val="00835DF4"/>
    <w:rsid w:val="00835FEC"/>
    <w:rsid w:val="0083628D"/>
    <w:rsid w:val="008363EC"/>
    <w:rsid w:val="008365D8"/>
    <w:rsid w:val="00836726"/>
    <w:rsid w:val="0083679F"/>
    <w:rsid w:val="008367E6"/>
    <w:rsid w:val="00836804"/>
    <w:rsid w:val="00836A5D"/>
    <w:rsid w:val="00836AE3"/>
    <w:rsid w:val="00836AE7"/>
    <w:rsid w:val="00836B72"/>
    <w:rsid w:val="00836C13"/>
    <w:rsid w:val="00836CAE"/>
    <w:rsid w:val="00836DA3"/>
    <w:rsid w:val="00836FC5"/>
    <w:rsid w:val="008370D5"/>
    <w:rsid w:val="00837252"/>
    <w:rsid w:val="008373D7"/>
    <w:rsid w:val="00837423"/>
    <w:rsid w:val="008378FE"/>
    <w:rsid w:val="00837910"/>
    <w:rsid w:val="00837A1E"/>
    <w:rsid w:val="00837BC2"/>
    <w:rsid w:val="00837D03"/>
    <w:rsid w:val="00837E91"/>
    <w:rsid w:val="00837EEA"/>
    <w:rsid w:val="00840245"/>
    <w:rsid w:val="008407E3"/>
    <w:rsid w:val="0084084E"/>
    <w:rsid w:val="008408E9"/>
    <w:rsid w:val="008408FD"/>
    <w:rsid w:val="00840C36"/>
    <w:rsid w:val="00840C60"/>
    <w:rsid w:val="00840DB1"/>
    <w:rsid w:val="00840EF7"/>
    <w:rsid w:val="00840FC5"/>
    <w:rsid w:val="00840FCC"/>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F3"/>
    <w:rsid w:val="0084243F"/>
    <w:rsid w:val="00842452"/>
    <w:rsid w:val="00842500"/>
    <w:rsid w:val="00842537"/>
    <w:rsid w:val="008425FE"/>
    <w:rsid w:val="0084269A"/>
    <w:rsid w:val="008428A5"/>
    <w:rsid w:val="008428A9"/>
    <w:rsid w:val="008429D4"/>
    <w:rsid w:val="00842BB9"/>
    <w:rsid w:val="00842BF1"/>
    <w:rsid w:val="00842D4E"/>
    <w:rsid w:val="00842DAC"/>
    <w:rsid w:val="00842DCD"/>
    <w:rsid w:val="00842E99"/>
    <w:rsid w:val="0084300D"/>
    <w:rsid w:val="008431BA"/>
    <w:rsid w:val="008431CC"/>
    <w:rsid w:val="008432F0"/>
    <w:rsid w:val="008437B8"/>
    <w:rsid w:val="008437DA"/>
    <w:rsid w:val="00843A43"/>
    <w:rsid w:val="00843B94"/>
    <w:rsid w:val="00843BBB"/>
    <w:rsid w:val="00843F65"/>
    <w:rsid w:val="00843FE9"/>
    <w:rsid w:val="008443D0"/>
    <w:rsid w:val="008444CC"/>
    <w:rsid w:val="00844724"/>
    <w:rsid w:val="00844828"/>
    <w:rsid w:val="00844857"/>
    <w:rsid w:val="0084495B"/>
    <w:rsid w:val="008449B7"/>
    <w:rsid w:val="00844A03"/>
    <w:rsid w:val="00844B15"/>
    <w:rsid w:val="00844C71"/>
    <w:rsid w:val="00844D6B"/>
    <w:rsid w:val="00844F23"/>
    <w:rsid w:val="00844F74"/>
    <w:rsid w:val="00844FB9"/>
    <w:rsid w:val="00845101"/>
    <w:rsid w:val="008451E8"/>
    <w:rsid w:val="008454AF"/>
    <w:rsid w:val="008454EA"/>
    <w:rsid w:val="008455EB"/>
    <w:rsid w:val="008456A3"/>
    <w:rsid w:val="008457AF"/>
    <w:rsid w:val="00845C6C"/>
    <w:rsid w:val="00845D79"/>
    <w:rsid w:val="00845DA4"/>
    <w:rsid w:val="00845EB2"/>
    <w:rsid w:val="00845F43"/>
    <w:rsid w:val="00846383"/>
    <w:rsid w:val="008464A2"/>
    <w:rsid w:val="008464A5"/>
    <w:rsid w:val="00846637"/>
    <w:rsid w:val="008468A3"/>
    <w:rsid w:val="00846D28"/>
    <w:rsid w:val="00846D36"/>
    <w:rsid w:val="00846DA9"/>
    <w:rsid w:val="00846F27"/>
    <w:rsid w:val="00846F5F"/>
    <w:rsid w:val="00846FC6"/>
    <w:rsid w:val="00847042"/>
    <w:rsid w:val="00847180"/>
    <w:rsid w:val="008471A1"/>
    <w:rsid w:val="00847475"/>
    <w:rsid w:val="0084754A"/>
    <w:rsid w:val="00847611"/>
    <w:rsid w:val="00847AF5"/>
    <w:rsid w:val="00847DF6"/>
    <w:rsid w:val="00847E27"/>
    <w:rsid w:val="0085037E"/>
    <w:rsid w:val="00850441"/>
    <w:rsid w:val="00850642"/>
    <w:rsid w:val="008506BD"/>
    <w:rsid w:val="008506F8"/>
    <w:rsid w:val="008507CE"/>
    <w:rsid w:val="00850A2A"/>
    <w:rsid w:val="00850A2E"/>
    <w:rsid w:val="00850B0C"/>
    <w:rsid w:val="00850DEF"/>
    <w:rsid w:val="0085101C"/>
    <w:rsid w:val="0085115E"/>
    <w:rsid w:val="0085123F"/>
    <w:rsid w:val="00851341"/>
    <w:rsid w:val="00851D23"/>
    <w:rsid w:val="00852090"/>
    <w:rsid w:val="008520F8"/>
    <w:rsid w:val="00852293"/>
    <w:rsid w:val="008522E7"/>
    <w:rsid w:val="00852322"/>
    <w:rsid w:val="00852583"/>
    <w:rsid w:val="008525CA"/>
    <w:rsid w:val="00852642"/>
    <w:rsid w:val="008527BD"/>
    <w:rsid w:val="00852AA8"/>
    <w:rsid w:val="00852D5F"/>
    <w:rsid w:val="00852DF8"/>
    <w:rsid w:val="00852E0F"/>
    <w:rsid w:val="00852E25"/>
    <w:rsid w:val="00852E76"/>
    <w:rsid w:val="00852F23"/>
    <w:rsid w:val="00852FB2"/>
    <w:rsid w:val="0085301D"/>
    <w:rsid w:val="00853191"/>
    <w:rsid w:val="0085352E"/>
    <w:rsid w:val="00853603"/>
    <w:rsid w:val="00853756"/>
    <w:rsid w:val="00853882"/>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B7D"/>
    <w:rsid w:val="00856FB0"/>
    <w:rsid w:val="008570AE"/>
    <w:rsid w:val="008570B2"/>
    <w:rsid w:val="008570C4"/>
    <w:rsid w:val="00857520"/>
    <w:rsid w:val="00857649"/>
    <w:rsid w:val="008576B2"/>
    <w:rsid w:val="0085784D"/>
    <w:rsid w:val="00857865"/>
    <w:rsid w:val="00857913"/>
    <w:rsid w:val="0085792C"/>
    <w:rsid w:val="00857984"/>
    <w:rsid w:val="00857A5F"/>
    <w:rsid w:val="00857B73"/>
    <w:rsid w:val="00857D22"/>
    <w:rsid w:val="00857D4F"/>
    <w:rsid w:val="00857F50"/>
    <w:rsid w:val="008600CA"/>
    <w:rsid w:val="0086010E"/>
    <w:rsid w:val="00860312"/>
    <w:rsid w:val="0086039E"/>
    <w:rsid w:val="0086045A"/>
    <w:rsid w:val="008604E1"/>
    <w:rsid w:val="00860553"/>
    <w:rsid w:val="00860641"/>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22E"/>
    <w:rsid w:val="00861BFE"/>
    <w:rsid w:val="00861D78"/>
    <w:rsid w:val="00861D8C"/>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CC"/>
    <w:rsid w:val="00863C7C"/>
    <w:rsid w:val="00863CFD"/>
    <w:rsid w:val="0086444F"/>
    <w:rsid w:val="00864565"/>
    <w:rsid w:val="00864B3D"/>
    <w:rsid w:val="00864C2E"/>
    <w:rsid w:val="00864CAA"/>
    <w:rsid w:val="00864E97"/>
    <w:rsid w:val="00864EBF"/>
    <w:rsid w:val="00865097"/>
    <w:rsid w:val="00865153"/>
    <w:rsid w:val="0086516C"/>
    <w:rsid w:val="00865286"/>
    <w:rsid w:val="0086532F"/>
    <w:rsid w:val="00865491"/>
    <w:rsid w:val="00865581"/>
    <w:rsid w:val="00865851"/>
    <w:rsid w:val="00865DE9"/>
    <w:rsid w:val="00865E10"/>
    <w:rsid w:val="00865EAC"/>
    <w:rsid w:val="00865F07"/>
    <w:rsid w:val="008660A6"/>
    <w:rsid w:val="0086627A"/>
    <w:rsid w:val="00866493"/>
    <w:rsid w:val="008665F1"/>
    <w:rsid w:val="0086690E"/>
    <w:rsid w:val="00866A60"/>
    <w:rsid w:val="00866BAC"/>
    <w:rsid w:val="00866D90"/>
    <w:rsid w:val="00866E17"/>
    <w:rsid w:val="00866F32"/>
    <w:rsid w:val="00867158"/>
    <w:rsid w:val="008674C6"/>
    <w:rsid w:val="0086762C"/>
    <w:rsid w:val="008676AD"/>
    <w:rsid w:val="008676DB"/>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E9F"/>
    <w:rsid w:val="00870F14"/>
    <w:rsid w:val="0087113E"/>
    <w:rsid w:val="00871212"/>
    <w:rsid w:val="00871434"/>
    <w:rsid w:val="00871455"/>
    <w:rsid w:val="00871520"/>
    <w:rsid w:val="0087158D"/>
    <w:rsid w:val="0087160B"/>
    <w:rsid w:val="008718B3"/>
    <w:rsid w:val="008719E3"/>
    <w:rsid w:val="00871C05"/>
    <w:rsid w:val="00871D12"/>
    <w:rsid w:val="00871DEF"/>
    <w:rsid w:val="00871EE6"/>
    <w:rsid w:val="008720DF"/>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75C"/>
    <w:rsid w:val="00873913"/>
    <w:rsid w:val="00873B16"/>
    <w:rsid w:val="00873B45"/>
    <w:rsid w:val="00873C38"/>
    <w:rsid w:val="00874114"/>
    <w:rsid w:val="00874192"/>
    <w:rsid w:val="0087421C"/>
    <w:rsid w:val="008745AB"/>
    <w:rsid w:val="00874872"/>
    <w:rsid w:val="008748E3"/>
    <w:rsid w:val="00874D0F"/>
    <w:rsid w:val="00874D1D"/>
    <w:rsid w:val="00874FF1"/>
    <w:rsid w:val="00875192"/>
    <w:rsid w:val="008751EC"/>
    <w:rsid w:val="00875413"/>
    <w:rsid w:val="00875419"/>
    <w:rsid w:val="00875657"/>
    <w:rsid w:val="00875705"/>
    <w:rsid w:val="0087575F"/>
    <w:rsid w:val="00875817"/>
    <w:rsid w:val="00875899"/>
    <w:rsid w:val="0087591B"/>
    <w:rsid w:val="00875AE5"/>
    <w:rsid w:val="00875BF1"/>
    <w:rsid w:val="00875E56"/>
    <w:rsid w:val="0087606C"/>
    <w:rsid w:val="00876495"/>
    <w:rsid w:val="0087660C"/>
    <w:rsid w:val="008766CD"/>
    <w:rsid w:val="00876759"/>
    <w:rsid w:val="0087686F"/>
    <w:rsid w:val="00876972"/>
    <w:rsid w:val="00876A2B"/>
    <w:rsid w:val="00876A71"/>
    <w:rsid w:val="00876AB9"/>
    <w:rsid w:val="00876B9C"/>
    <w:rsid w:val="00876CDD"/>
    <w:rsid w:val="00876DE8"/>
    <w:rsid w:val="00876F7E"/>
    <w:rsid w:val="008771BC"/>
    <w:rsid w:val="008772BA"/>
    <w:rsid w:val="008774BD"/>
    <w:rsid w:val="00877704"/>
    <w:rsid w:val="0087775A"/>
    <w:rsid w:val="008803C2"/>
    <w:rsid w:val="008803C7"/>
    <w:rsid w:val="0088065F"/>
    <w:rsid w:val="00880757"/>
    <w:rsid w:val="00880862"/>
    <w:rsid w:val="00880871"/>
    <w:rsid w:val="00880A52"/>
    <w:rsid w:val="00880B58"/>
    <w:rsid w:val="00880E5E"/>
    <w:rsid w:val="00880E6E"/>
    <w:rsid w:val="00881085"/>
    <w:rsid w:val="008812CC"/>
    <w:rsid w:val="0088155A"/>
    <w:rsid w:val="0088157C"/>
    <w:rsid w:val="0088162E"/>
    <w:rsid w:val="00881848"/>
    <w:rsid w:val="00881875"/>
    <w:rsid w:val="00881E60"/>
    <w:rsid w:val="00881F81"/>
    <w:rsid w:val="00882262"/>
    <w:rsid w:val="008823E6"/>
    <w:rsid w:val="00882426"/>
    <w:rsid w:val="008824CD"/>
    <w:rsid w:val="00882672"/>
    <w:rsid w:val="00883253"/>
    <w:rsid w:val="008835E4"/>
    <w:rsid w:val="0088375E"/>
    <w:rsid w:val="00883816"/>
    <w:rsid w:val="00883BAA"/>
    <w:rsid w:val="00883C76"/>
    <w:rsid w:val="00883CC2"/>
    <w:rsid w:val="00883E42"/>
    <w:rsid w:val="00883FC1"/>
    <w:rsid w:val="00884260"/>
    <w:rsid w:val="008842C2"/>
    <w:rsid w:val="00884362"/>
    <w:rsid w:val="0088442C"/>
    <w:rsid w:val="008845A9"/>
    <w:rsid w:val="008849AB"/>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8E"/>
    <w:rsid w:val="008877A2"/>
    <w:rsid w:val="008877C6"/>
    <w:rsid w:val="008879D8"/>
    <w:rsid w:val="008879F6"/>
    <w:rsid w:val="008879FB"/>
    <w:rsid w:val="00887CB4"/>
    <w:rsid w:val="00887E02"/>
    <w:rsid w:val="00887E75"/>
    <w:rsid w:val="008900B7"/>
    <w:rsid w:val="00890292"/>
    <w:rsid w:val="008902C6"/>
    <w:rsid w:val="00890339"/>
    <w:rsid w:val="0089072E"/>
    <w:rsid w:val="00890761"/>
    <w:rsid w:val="00890AF6"/>
    <w:rsid w:val="00890F54"/>
    <w:rsid w:val="0089103A"/>
    <w:rsid w:val="0089106D"/>
    <w:rsid w:val="008914CB"/>
    <w:rsid w:val="008915F1"/>
    <w:rsid w:val="00891A5F"/>
    <w:rsid w:val="00891B84"/>
    <w:rsid w:val="00891C54"/>
    <w:rsid w:val="00891DB8"/>
    <w:rsid w:val="00891FFF"/>
    <w:rsid w:val="0089264F"/>
    <w:rsid w:val="008926E2"/>
    <w:rsid w:val="00892770"/>
    <w:rsid w:val="00892886"/>
    <w:rsid w:val="0089293E"/>
    <w:rsid w:val="00892980"/>
    <w:rsid w:val="008929F4"/>
    <w:rsid w:val="00892C59"/>
    <w:rsid w:val="00892DB4"/>
    <w:rsid w:val="00892EAB"/>
    <w:rsid w:val="00892F61"/>
    <w:rsid w:val="00893389"/>
    <w:rsid w:val="008934F0"/>
    <w:rsid w:val="00893735"/>
    <w:rsid w:val="008937E3"/>
    <w:rsid w:val="008938AF"/>
    <w:rsid w:val="00893961"/>
    <w:rsid w:val="008939BC"/>
    <w:rsid w:val="00893B88"/>
    <w:rsid w:val="00893DAE"/>
    <w:rsid w:val="00893DDF"/>
    <w:rsid w:val="0089417E"/>
    <w:rsid w:val="0089430A"/>
    <w:rsid w:val="008944DF"/>
    <w:rsid w:val="008945F0"/>
    <w:rsid w:val="008947DD"/>
    <w:rsid w:val="008948BF"/>
    <w:rsid w:val="0089495B"/>
    <w:rsid w:val="00894A54"/>
    <w:rsid w:val="00894BC6"/>
    <w:rsid w:val="00894F4B"/>
    <w:rsid w:val="008951DB"/>
    <w:rsid w:val="00895215"/>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383"/>
    <w:rsid w:val="008965F9"/>
    <w:rsid w:val="008965FA"/>
    <w:rsid w:val="008967C4"/>
    <w:rsid w:val="00896831"/>
    <w:rsid w:val="008968D7"/>
    <w:rsid w:val="00896A88"/>
    <w:rsid w:val="00896A94"/>
    <w:rsid w:val="00896B3B"/>
    <w:rsid w:val="00896C3E"/>
    <w:rsid w:val="00896E9B"/>
    <w:rsid w:val="00897074"/>
    <w:rsid w:val="0089717B"/>
    <w:rsid w:val="0089750A"/>
    <w:rsid w:val="008975A8"/>
    <w:rsid w:val="008978C4"/>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EC"/>
    <w:rsid w:val="008A25C7"/>
    <w:rsid w:val="008A2791"/>
    <w:rsid w:val="008A28F3"/>
    <w:rsid w:val="008A2AF8"/>
    <w:rsid w:val="008A2C5B"/>
    <w:rsid w:val="008A2CED"/>
    <w:rsid w:val="008A2D76"/>
    <w:rsid w:val="008A2FE8"/>
    <w:rsid w:val="008A31AE"/>
    <w:rsid w:val="008A3358"/>
    <w:rsid w:val="008A34A7"/>
    <w:rsid w:val="008A37EC"/>
    <w:rsid w:val="008A389D"/>
    <w:rsid w:val="008A38D7"/>
    <w:rsid w:val="008A3C9D"/>
    <w:rsid w:val="008A3D85"/>
    <w:rsid w:val="008A3F6E"/>
    <w:rsid w:val="008A4016"/>
    <w:rsid w:val="008A4117"/>
    <w:rsid w:val="008A4136"/>
    <w:rsid w:val="008A4311"/>
    <w:rsid w:val="008A4438"/>
    <w:rsid w:val="008A4568"/>
    <w:rsid w:val="008A45B5"/>
    <w:rsid w:val="008A4727"/>
    <w:rsid w:val="008A4739"/>
    <w:rsid w:val="008A4E04"/>
    <w:rsid w:val="008A4EB6"/>
    <w:rsid w:val="008A51E6"/>
    <w:rsid w:val="008A52FE"/>
    <w:rsid w:val="008A543F"/>
    <w:rsid w:val="008A563E"/>
    <w:rsid w:val="008A56FC"/>
    <w:rsid w:val="008A5C89"/>
    <w:rsid w:val="008A5D46"/>
    <w:rsid w:val="008A5D63"/>
    <w:rsid w:val="008A5E8A"/>
    <w:rsid w:val="008A5F03"/>
    <w:rsid w:val="008A6272"/>
    <w:rsid w:val="008A6365"/>
    <w:rsid w:val="008A6404"/>
    <w:rsid w:val="008A643E"/>
    <w:rsid w:val="008A6479"/>
    <w:rsid w:val="008A6788"/>
    <w:rsid w:val="008A69D0"/>
    <w:rsid w:val="008A6A33"/>
    <w:rsid w:val="008A6B3D"/>
    <w:rsid w:val="008A6B4F"/>
    <w:rsid w:val="008A6B5C"/>
    <w:rsid w:val="008A6DD2"/>
    <w:rsid w:val="008A6E5B"/>
    <w:rsid w:val="008A705D"/>
    <w:rsid w:val="008A725A"/>
    <w:rsid w:val="008A72C4"/>
    <w:rsid w:val="008A76C1"/>
    <w:rsid w:val="008A77C0"/>
    <w:rsid w:val="008A77EC"/>
    <w:rsid w:val="008A78DD"/>
    <w:rsid w:val="008A7FFE"/>
    <w:rsid w:val="008B0451"/>
    <w:rsid w:val="008B04AC"/>
    <w:rsid w:val="008B04F1"/>
    <w:rsid w:val="008B0596"/>
    <w:rsid w:val="008B07A8"/>
    <w:rsid w:val="008B0827"/>
    <w:rsid w:val="008B0959"/>
    <w:rsid w:val="008B0A4A"/>
    <w:rsid w:val="008B0B5E"/>
    <w:rsid w:val="008B0F0B"/>
    <w:rsid w:val="008B0F55"/>
    <w:rsid w:val="008B1251"/>
    <w:rsid w:val="008B12AF"/>
    <w:rsid w:val="008B13F9"/>
    <w:rsid w:val="008B1538"/>
    <w:rsid w:val="008B15EE"/>
    <w:rsid w:val="008B16FB"/>
    <w:rsid w:val="008B1901"/>
    <w:rsid w:val="008B1AFF"/>
    <w:rsid w:val="008B1B35"/>
    <w:rsid w:val="008B1F5C"/>
    <w:rsid w:val="008B204F"/>
    <w:rsid w:val="008B20F1"/>
    <w:rsid w:val="008B2326"/>
    <w:rsid w:val="008B2504"/>
    <w:rsid w:val="008B27CC"/>
    <w:rsid w:val="008B2848"/>
    <w:rsid w:val="008B28E3"/>
    <w:rsid w:val="008B2BE1"/>
    <w:rsid w:val="008B2BE6"/>
    <w:rsid w:val="008B2DAC"/>
    <w:rsid w:val="008B2E13"/>
    <w:rsid w:val="008B2F0F"/>
    <w:rsid w:val="008B302C"/>
    <w:rsid w:val="008B31FF"/>
    <w:rsid w:val="008B34B8"/>
    <w:rsid w:val="008B34C9"/>
    <w:rsid w:val="008B34ED"/>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3A"/>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76"/>
    <w:rsid w:val="008C0D9D"/>
    <w:rsid w:val="008C0EDE"/>
    <w:rsid w:val="008C0FEB"/>
    <w:rsid w:val="008C12D5"/>
    <w:rsid w:val="008C13FB"/>
    <w:rsid w:val="008C149B"/>
    <w:rsid w:val="008C14C6"/>
    <w:rsid w:val="008C1632"/>
    <w:rsid w:val="008C186B"/>
    <w:rsid w:val="008C1ADE"/>
    <w:rsid w:val="008C1DF7"/>
    <w:rsid w:val="008C1EF1"/>
    <w:rsid w:val="008C229D"/>
    <w:rsid w:val="008C2494"/>
    <w:rsid w:val="008C2835"/>
    <w:rsid w:val="008C29FF"/>
    <w:rsid w:val="008C2A64"/>
    <w:rsid w:val="008C2B6B"/>
    <w:rsid w:val="008C2C21"/>
    <w:rsid w:val="008C308D"/>
    <w:rsid w:val="008C313F"/>
    <w:rsid w:val="008C328C"/>
    <w:rsid w:val="008C3346"/>
    <w:rsid w:val="008C33CE"/>
    <w:rsid w:val="008C3602"/>
    <w:rsid w:val="008C3C12"/>
    <w:rsid w:val="008C3CA7"/>
    <w:rsid w:val="008C3F52"/>
    <w:rsid w:val="008C435B"/>
    <w:rsid w:val="008C4547"/>
    <w:rsid w:val="008C47C6"/>
    <w:rsid w:val="008C4EA0"/>
    <w:rsid w:val="008C4EBF"/>
    <w:rsid w:val="008C5093"/>
    <w:rsid w:val="008C5133"/>
    <w:rsid w:val="008C51D1"/>
    <w:rsid w:val="008C5310"/>
    <w:rsid w:val="008C5349"/>
    <w:rsid w:val="008C53A1"/>
    <w:rsid w:val="008C53A6"/>
    <w:rsid w:val="008C56FC"/>
    <w:rsid w:val="008C5861"/>
    <w:rsid w:val="008C5895"/>
    <w:rsid w:val="008C5B24"/>
    <w:rsid w:val="008C5B66"/>
    <w:rsid w:val="008C5BBE"/>
    <w:rsid w:val="008C5C78"/>
    <w:rsid w:val="008C5E0E"/>
    <w:rsid w:val="008C5EF2"/>
    <w:rsid w:val="008C607F"/>
    <w:rsid w:val="008C61C6"/>
    <w:rsid w:val="008C6233"/>
    <w:rsid w:val="008C6559"/>
    <w:rsid w:val="008C657E"/>
    <w:rsid w:val="008C65FC"/>
    <w:rsid w:val="008C6AEC"/>
    <w:rsid w:val="008C6B19"/>
    <w:rsid w:val="008C6EBA"/>
    <w:rsid w:val="008C7346"/>
    <w:rsid w:val="008C736B"/>
    <w:rsid w:val="008C762B"/>
    <w:rsid w:val="008C77DB"/>
    <w:rsid w:val="008C77F6"/>
    <w:rsid w:val="008C7B80"/>
    <w:rsid w:val="008C7CCE"/>
    <w:rsid w:val="008C7DB4"/>
    <w:rsid w:val="008C7DBA"/>
    <w:rsid w:val="008C7FC7"/>
    <w:rsid w:val="008C7FF3"/>
    <w:rsid w:val="008D01A4"/>
    <w:rsid w:val="008D026A"/>
    <w:rsid w:val="008D030F"/>
    <w:rsid w:val="008D03E1"/>
    <w:rsid w:val="008D0844"/>
    <w:rsid w:val="008D08E5"/>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C9"/>
    <w:rsid w:val="008D3CF5"/>
    <w:rsid w:val="008D3DAD"/>
    <w:rsid w:val="008D3DBE"/>
    <w:rsid w:val="008D3DEE"/>
    <w:rsid w:val="008D4153"/>
    <w:rsid w:val="008D41FF"/>
    <w:rsid w:val="008D4343"/>
    <w:rsid w:val="008D46E4"/>
    <w:rsid w:val="008D4887"/>
    <w:rsid w:val="008D4A52"/>
    <w:rsid w:val="008D4BC8"/>
    <w:rsid w:val="008D4DD5"/>
    <w:rsid w:val="008D4FDE"/>
    <w:rsid w:val="008D5062"/>
    <w:rsid w:val="008D5436"/>
    <w:rsid w:val="008D55A7"/>
    <w:rsid w:val="008D57A6"/>
    <w:rsid w:val="008D5819"/>
    <w:rsid w:val="008D58B5"/>
    <w:rsid w:val="008D5974"/>
    <w:rsid w:val="008D5B37"/>
    <w:rsid w:val="008D5B96"/>
    <w:rsid w:val="008D5C03"/>
    <w:rsid w:val="008D5F45"/>
    <w:rsid w:val="008D5FF5"/>
    <w:rsid w:val="008D6045"/>
    <w:rsid w:val="008D625C"/>
    <w:rsid w:val="008D638A"/>
    <w:rsid w:val="008D6406"/>
    <w:rsid w:val="008D679E"/>
    <w:rsid w:val="008D683B"/>
    <w:rsid w:val="008D6BE1"/>
    <w:rsid w:val="008D6BFF"/>
    <w:rsid w:val="008D6E08"/>
    <w:rsid w:val="008D7002"/>
    <w:rsid w:val="008D7010"/>
    <w:rsid w:val="008D7566"/>
    <w:rsid w:val="008D7776"/>
    <w:rsid w:val="008D77E2"/>
    <w:rsid w:val="008D7A3F"/>
    <w:rsid w:val="008D7A54"/>
    <w:rsid w:val="008D7D04"/>
    <w:rsid w:val="008D7EB5"/>
    <w:rsid w:val="008E036B"/>
    <w:rsid w:val="008E0553"/>
    <w:rsid w:val="008E0620"/>
    <w:rsid w:val="008E0799"/>
    <w:rsid w:val="008E0BD1"/>
    <w:rsid w:val="008E0DE7"/>
    <w:rsid w:val="008E102C"/>
    <w:rsid w:val="008E1163"/>
    <w:rsid w:val="008E1236"/>
    <w:rsid w:val="008E13A8"/>
    <w:rsid w:val="008E1582"/>
    <w:rsid w:val="008E15D6"/>
    <w:rsid w:val="008E1634"/>
    <w:rsid w:val="008E16CB"/>
    <w:rsid w:val="008E1795"/>
    <w:rsid w:val="008E18A3"/>
    <w:rsid w:val="008E19C8"/>
    <w:rsid w:val="008E219C"/>
    <w:rsid w:val="008E21CF"/>
    <w:rsid w:val="008E2442"/>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F8"/>
    <w:rsid w:val="008E4644"/>
    <w:rsid w:val="008E49C5"/>
    <w:rsid w:val="008E4C48"/>
    <w:rsid w:val="008E4CE5"/>
    <w:rsid w:val="008E4FBB"/>
    <w:rsid w:val="008E5045"/>
    <w:rsid w:val="008E5127"/>
    <w:rsid w:val="008E5486"/>
    <w:rsid w:val="008E54C8"/>
    <w:rsid w:val="008E5525"/>
    <w:rsid w:val="008E55DE"/>
    <w:rsid w:val="008E560B"/>
    <w:rsid w:val="008E5957"/>
    <w:rsid w:val="008E5A77"/>
    <w:rsid w:val="008E5B43"/>
    <w:rsid w:val="008E5BB1"/>
    <w:rsid w:val="008E5CBA"/>
    <w:rsid w:val="008E5DB2"/>
    <w:rsid w:val="008E5E8D"/>
    <w:rsid w:val="008E6458"/>
    <w:rsid w:val="008E65E9"/>
    <w:rsid w:val="008E66BF"/>
    <w:rsid w:val="008E698D"/>
    <w:rsid w:val="008E69AF"/>
    <w:rsid w:val="008E69B6"/>
    <w:rsid w:val="008E6B00"/>
    <w:rsid w:val="008E6E44"/>
    <w:rsid w:val="008E6FD8"/>
    <w:rsid w:val="008E734E"/>
    <w:rsid w:val="008E736F"/>
    <w:rsid w:val="008E73F1"/>
    <w:rsid w:val="008E7761"/>
    <w:rsid w:val="008E79E4"/>
    <w:rsid w:val="008E7E33"/>
    <w:rsid w:val="008F005C"/>
    <w:rsid w:val="008F03D7"/>
    <w:rsid w:val="008F03DF"/>
    <w:rsid w:val="008F03E4"/>
    <w:rsid w:val="008F042C"/>
    <w:rsid w:val="008F04DC"/>
    <w:rsid w:val="008F0B84"/>
    <w:rsid w:val="008F0BAA"/>
    <w:rsid w:val="008F0C2A"/>
    <w:rsid w:val="008F0C5A"/>
    <w:rsid w:val="008F0CAF"/>
    <w:rsid w:val="008F0DFE"/>
    <w:rsid w:val="008F0E8E"/>
    <w:rsid w:val="008F0F3A"/>
    <w:rsid w:val="008F0F3D"/>
    <w:rsid w:val="008F1349"/>
    <w:rsid w:val="008F1399"/>
    <w:rsid w:val="008F166E"/>
    <w:rsid w:val="008F187C"/>
    <w:rsid w:val="008F1A93"/>
    <w:rsid w:val="008F1ABB"/>
    <w:rsid w:val="008F1CEC"/>
    <w:rsid w:val="008F1D6B"/>
    <w:rsid w:val="008F1DEB"/>
    <w:rsid w:val="008F1EEC"/>
    <w:rsid w:val="008F2006"/>
    <w:rsid w:val="008F2468"/>
    <w:rsid w:val="008F26E3"/>
    <w:rsid w:val="008F2829"/>
    <w:rsid w:val="008F2B1D"/>
    <w:rsid w:val="008F2D2B"/>
    <w:rsid w:val="008F2D4D"/>
    <w:rsid w:val="008F2E7D"/>
    <w:rsid w:val="008F2E96"/>
    <w:rsid w:val="008F3012"/>
    <w:rsid w:val="008F30C7"/>
    <w:rsid w:val="008F33BA"/>
    <w:rsid w:val="008F34C2"/>
    <w:rsid w:val="008F357B"/>
    <w:rsid w:val="008F36B2"/>
    <w:rsid w:val="008F3727"/>
    <w:rsid w:val="008F3A4F"/>
    <w:rsid w:val="008F3DA5"/>
    <w:rsid w:val="008F40E8"/>
    <w:rsid w:val="008F4229"/>
    <w:rsid w:val="008F44F1"/>
    <w:rsid w:val="008F473A"/>
    <w:rsid w:val="008F483B"/>
    <w:rsid w:val="008F4955"/>
    <w:rsid w:val="008F4C02"/>
    <w:rsid w:val="008F4D12"/>
    <w:rsid w:val="008F5289"/>
    <w:rsid w:val="008F52F1"/>
    <w:rsid w:val="008F53FB"/>
    <w:rsid w:val="008F5438"/>
    <w:rsid w:val="008F56B6"/>
    <w:rsid w:val="008F5C2D"/>
    <w:rsid w:val="008F5CCB"/>
    <w:rsid w:val="008F5DB9"/>
    <w:rsid w:val="008F5DFD"/>
    <w:rsid w:val="008F5F11"/>
    <w:rsid w:val="008F615A"/>
    <w:rsid w:val="008F61C9"/>
    <w:rsid w:val="008F62C4"/>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692"/>
    <w:rsid w:val="0090087E"/>
    <w:rsid w:val="00900898"/>
    <w:rsid w:val="009008BC"/>
    <w:rsid w:val="00900B0E"/>
    <w:rsid w:val="00900C80"/>
    <w:rsid w:val="009011C6"/>
    <w:rsid w:val="00901263"/>
    <w:rsid w:val="009012E8"/>
    <w:rsid w:val="00901366"/>
    <w:rsid w:val="0090156C"/>
    <w:rsid w:val="0090161F"/>
    <w:rsid w:val="0090175C"/>
    <w:rsid w:val="009018FD"/>
    <w:rsid w:val="00901D09"/>
    <w:rsid w:val="00901ECD"/>
    <w:rsid w:val="00901F77"/>
    <w:rsid w:val="0090221C"/>
    <w:rsid w:val="00902250"/>
    <w:rsid w:val="0090237B"/>
    <w:rsid w:val="009023C9"/>
    <w:rsid w:val="0090292F"/>
    <w:rsid w:val="009029FE"/>
    <w:rsid w:val="00902A7B"/>
    <w:rsid w:val="00902AC6"/>
    <w:rsid w:val="00902B72"/>
    <w:rsid w:val="00902BCF"/>
    <w:rsid w:val="00902BE5"/>
    <w:rsid w:val="00902BF3"/>
    <w:rsid w:val="00902C19"/>
    <w:rsid w:val="00902D0F"/>
    <w:rsid w:val="00902D18"/>
    <w:rsid w:val="00902DB2"/>
    <w:rsid w:val="00902EA4"/>
    <w:rsid w:val="00903210"/>
    <w:rsid w:val="0090321C"/>
    <w:rsid w:val="009032F0"/>
    <w:rsid w:val="009034C2"/>
    <w:rsid w:val="0090359A"/>
    <w:rsid w:val="00903658"/>
    <w:rsid w:val="00903A82"/>
    <w:rsid w:val="00903A9A"/>
    <w:rsid w:val="00903AA7"/>
    <w:rsid w:val="0090414D"/>
    <w:rsid w:val="009042AE"/>
    <w:rsid w:val="009043F4"/>
    <w:rsid w:val="0090466B"/>
    <w:rsid w:val="00904878"/>
    <w:rsid w:val="009048DF"/>
    <w:rsid w:val="0090492D"/>
    <w:rsid w:val="00904B15"/>
    <w:rsid w:val="00904B82"/>
    <w:rsid w:val="00904DEF"/>
    <w:rsid w:val="00904F9A"/>
    <w:rsid w:val="0090508C"/>
    <w:rsid w:val="00905300"/>
    <w:rsid w:val="00905435"/>
    <w:rsid w:val="0090573B"/>
    <w:rsid w:val="009059B2"/>
    <w:rsid w:val="00905B1B"/>
    <w:rsid w:val="00905CCB"/>
    <w:rsid w:val="00905CE9"/>
    <w:rsid w:val="00905DF8"/>
    <w:rsid w:val="009061DD"/>
    <w:rsid w:val="009063A5"/>
    <w:rsid w:val="00906412"/>
    <w:rsid w:val="009065A2"/>
    <w:rsid w:val="00906614"/>
    <w:rsid w:val="00906676"/>
    <w:rsid w:val="00906692"/>
    <w:rsid w:val="00906838"/>
    <w:rsid w:val="00906B63"/>
    <w:rsid w:val="00906B95"/>
    <w:rsid w:val="00906EE1"/>
    <w:rsid w:val="00906F2B"/>
    <w:rsid w:val="00907145"/>
    <w:rsid w:val="009078A9"/>
    <w:rsid w:val="00907960"/>
    <w:rsid w:val="00907A2D"/>
    <w:rsid w:val="00907A52"/>
    <w:rsid w:val="00907B0F"/>
    <w:rsid w:val="00907EE6"/>
    <w:rsid w:val="0091000E"/>
    <w:rsid w:val="009100DA"/>
    <w:rsid w:val="00910195"/>
    <w:rsid w:val="00910336"/>
    <w:rsid w:val="0091038F"/>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8C"/>
    <w:rsid w:val="009115A3"/>
    <w:rsid w:val="00911676"/>
    <w:rsid w:val="009118B7"/>
    <w:rsid w:val="00911B6C"/>
    <w:rsid w:val="00911E56"/>
    <w:rsid w:val="0091221F"/>
    <w:rsid w:val="00912409"/>
    <w:rsid w:val="0091250A"/>
    <w:rsid w:val="00912646"/>
    <w:rsid w:val="00912650"/>
    <w:rsid w:val="00912830"/>
    <w:rsid w:val="00912AAA"/>
    <w:rsid w:val="00912B0B"/>
    <w:rsid w:val="00912CC9"/>
    <w:rsid w:val="009134B5"/>
    <w:rsid w:val="009135F3"/>
    <w:rsid w:val="0091368A"/>
    <w:rsid w:val="00913788"/>
    <w:rsid w:val="00913831"/>
    <w:rsid w:val="009138CA"/>
    <w:rsid w:val="00913929"/>
    <w:rsid w:val="00913B2D"/>
    <w:rsid w:val="00913B53"/>
    <w:rsid w:val="00913CA7"/>
    <w:rsid w:val="00913D18"/>
    <w:rsid w:val="00913DC7"/>
    <w:rsid w:val="00913DF0"/>
    <w:rsid w:val="00913E30"/>
    <w:rsid w:val="00913E4F"/>
    <w:rsid w:val="00913E55"/>
    <w:rsid w:val="009140E4"/>
    <w:rsid w:val="0091427D"/>
    <w:rsid w:val="00914480"/>
    <w:rsid w:val="00914550"/>
    <w:rsid w:val="00914645"/>
    <w:rsid w:val="00914844"/>
    <w:rsid w:val="0091495B"/>
    <w:rsid w:val="00914A78"/>
    <w:rsid w:val="00914CD1"/>
    <w:rsid w:val="00914EDC"/>
    <w:rsid w:val="00914F14"/>
    <w:rsid w:val="0091535E"/>
    <w:rsid w:val="009157A6"/>
    <w:rsid w:val="00915AAD"/>
    <w:rsid w:val="00915B19"/>
    <w:rsid w:val="00916222"/>
    <w:rsid w:val="00916304"/>
    <w:rsid w:val="009163E4"/>
    <w:rsid w:val="00916508"/>
    <w:rsid w:val="0091651A"/>
    <w:rsid w:val="009165F9"/>
    <w:rsid w:val="0091687C"/>
    <w:rsid w:val="009169C4"/>
    <w:rsid w:val="00916A5D"/>
    <w:rsid w:val="00916B24"/>
    <w:rsid w:val="00916C2D"/>
    <w:rsid w:val="00916FA6"/>
    <w:rsid w:val="00917623"/>
    <w:rsid w:val="00917751"/>
    <w:rsid w:val="00917974"/>
    <w:rsid w:val="00917CBD"/>
    <w:rsid w:val="00917F7D"/>
    <w:rsid w:val="00920008"/>
    <w:rsid w:val="0092013B"/>
    <w:rsid w:val="009204D7"/>
    <w:rsid w:val="009205EF"/>
    <w:rsid w:val="00920610"/>
    <w:rsid w:val="009206FF"/>
    <w:rsid w:val="0092095D"/>
    <w:rsid w:val="009209C3"/>
    <w:rsid w:val="00920C95"/>
    <w:rsid w:val="00920FA8"/>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4BE"/>
    <w:rsid w:val="00923575"/>
    <w:rsid w:val="009238F4"/>
    <w:rsid w:val="00923A8B"/>
    <w:rsid w:val="00923B39"/>
    <w:rsid w:val="00923B5A"/>
    <w:rsid w:val="00923C56"/>
    <w:rsid w:val="00923CB0"/>
    <w:rsid w:val="00923CC1"/>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F85"/>
    <w:rsid w:val="009252E4"/>
    <w:rsid w:val="00925330"/>
    <w:rsid w:val="00925498"/>
    <w:rsid w:val="009254BD"/>
    <w:rsid w:val="009256C2"/>
    <w:rsid w:val="00925804"/>
    <w:rsid w:val="00925B06"/>
    <w:rsid w:val="00925DC7"/>
    <w:rsid w:val="00925DD2"/>
    <w:rsid w:val="00925EF4"/>
    <w:rsid w:val="00925F1B"/>
    <w:rsid w:val="009263F1"/>
    <w:rsid w:val="00926A0E"/>
    <w:rsid w:val="00926AA2"/>
    <w:rsid w:val="00926BC1"/>
    <w:rsid w:val="00926C7B"/>
    <w:rsid w:val="009270A0"/>
    <w:rsid w:val="00927161"/>
    <w:rsid w:val="00927236"/>
    <w:rsid w:val="00927795"/>
    <w:rsid w:val="009278CD"/>
    <w:rsid w:val="0092790B"/>
    <w:rsid w:val="009279FE"/>
    <w:rsid w:val="00927AC7"/>
    <w:rsid w:val="00927B3A"/>
    <w:rsid w:val="00927B5E"/>
    <w:rsid w:val="00930170"/>
    <w:rsid w:val="009302FA"/>
    <w:rsid w:val="00930359"/>
    <w:rsid w:val="009303BC"/>
    <w:rsid w:val="009305B5"/>
    <w:rsid w:val="00930676"/>
    <w:rsid w:val="009306E5"/>
    <w:rsid w:val="0093072A"/>
    <w:rsid w:val="00930AA2"/>
    <w:rsid w:val="00930AE4"/>
    <w:rsid w:val="00930DE6"/>
    <w:rsid w:val="00930F7C"/>
    <w:rsid w:val="00931036"/>
    <w:rsid w:val="0093122A"/>
    <w:rsid w:val="009313B3"/>
    <w:rsid w:val="00931747"/>
    <w:rsid w:val="00931832"/>
    <w:rsid w:val="0093196C"/>
    <w:rsid w:val="00931EE0"/>
    <w:rsid w:val="009320E6"/>
    <w:rsid w:val="0093214F"/>
    <w:rsid w:val="00932175"/>
    <w:rsid w:val="00932A33"/>
    <w:rsid w:val="00932AFF"/>
    <w:rsid w:val="009330DD"/>
    <w:rsid w:val="009331B4"/>
    <w:rsid w:val="0093339B"/>
    <w:rsid w:val="009333DC"/>
    <w:rsid w:val="009336D0"/>
    <w:rsid w:val="00933762"/>
    <w:rsid w:val="00933821"/>
    <w:rsid w:val="009339AA"/>
    <w:rsid w:val="00933D68"/>
    <w:rsid w:val="00933E7C"/>
    <w:rsid w:val="00933F90"/>
    <w:rsid w:val="00933FE2"/>
    <w:rsid w:val="00933FE9"/>
    <w:rsid w:val="00934123"/>
    <w:rsid w:val="0093430F"/>
    <w:rsid w:val="0093446F"/>
    <w:rsid w:val="0093458D"/>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4005D"/>
    <w:rsid w:val="009400CE"/>
    <w:rsid w:val="00940179"/>
    <w:rsid w:val="0094030A"/>
    <w:rsid w:val="00940396"/>
    <w:rsid w:val="0094048F"/>
    <w:rsid w:val="009404D4"/>
    <w:rsid w:val="00940516"/>
    <w:rsid w:val="00940550"/>
    <w:rsid w:val="0094075A"/>
    <w:rsid w:val="0094080E"/>
    <w:rsid w:val="00940B21"/>
    <w:rsid w:val="00940CE1"/>
    <w:rsid w:val="00940D49"/>
    <w:rsid w:val="00941087"/>
    <w:rsid w:val="009410DB"/>
    <w:rsid w:val="00941136"/>
    <w:rsid w:val="0094119F"/>
    <w:rsid w:val="00941224"/>
    <w:rsid w:val="0094146A"/>
    <w:rsid w:val="009415B6"/>
    <w:rsid w:val="009415F1"/>
    <w:rsid w:val="009416C0"/>
    <w:rsid w:val="00941C5C"/>
    <w:rsid w:val="00941FAD"/>
    <w:rsid w:val="009421DC"/>
    <w:rsid w:val="0094222C"/>
    <w:rsid w:val="00942241"/>
    <w:rsid w:val="0094224E"/>
    <w:rsid w:val="009423AD"/>
    <w:rsid w:val="00942509"/>
    <w:rsid w:val="00942539"/>
    <w:rsid w:val="00942579"/>
    <w:rsid w:val="009425EA"/>
    <w:rsid w:val="009426E2"/>
    <w:rsid w:val="00942AD2"/>
    <w:rsid w:val="00942C9C"/>
    <w:rsid w:val="00942CBC"/>
    <w:rsid w:val="00942E91"/>
    <w:rsid w:val="00942FC9"/>
    <w:rsid w:val="0094312A"/>
    <w:rsid w:val="00943532"/>
    <w:rsid w:val="00943591"/>
    <w:rsid w:val="00943702"/>
    <w:rsid w:val="00943761"/>
    <w:rsid w:val="0094390C"/>
    <w:rsid w:val="00943924"/>
    <w:rsid w:val="00943C49"/>
    <w:rsid w:val="00943DE8"/>
    <w:rsid w:val="00943E7F"/>
    <w:rsid w:val="00943EC8"/>
    <w:rsid w:val="00943EFA"/>
    <w:rsid w:val="00944009"/>
    <w:rsid w:val="0094409D"/>
    <w:rsid w:val="0094418B"/>
    <w:rsid w:val="00944279"/>
    <w:rsid w:val="0094441C"/>
    <w:rsid w:val="00944456"/>
    <w:rsid w:val="00944693"/>
    <w:rsid w:val="0094471B"/>
    <w:rsid w:val="0094487B"/>
    <w:rsid w:val="0094489F"/>
    <w:rsid w:val="00944D34"/>
    <w:rsid w:val="00944E10"/>
    <w:rsid w:val="00944F28"/>
    <w:rsid w:val="00944FB0"/>
    <w:rsid w:val="009453FF"/>
    <w:rsid w:val="00945401"/>
    <w:rsid w:val="00945433"/>
    <w:rsid w:val="00945834"/>
    <w:rsid w:val="009459B5"/>
    <w:rsid w:val="00945ADB"/>
    <w:rsid w:val="00945CD1"/>
    <w:rsid w:val="00945CF2"/>
    <w:rsid w:val="009462D4"/>
    <w:rsid w:val="009462F4"/>
    <w:rsid w:val="00946598"/>
    <w:rsid w:val="0094662A"/>
    <w:rsid w:val="0094675F"/>
    <w:rsid w:val="0094681B"/>
    <w:rsid w:val="00946822"/>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B97"/>
    <w:rsid w:val="00947D83"/>
    <w:rsid w:val="00947DE1"/>
    <w:rsid w:val="00947F55"/>
    <w:rsid w:val="0095012F"/>
    <w:rsid w:val="009502F5"/>
    <w:rsid w:val="009503F2"/>
    <w:rsid w:val="00950449"/>
    <w:rsid w:val="009504E7"/>
    <w:rsid w:val="009505A3"/>
    <w:rsid w:val="00950D9A"/>
    <w:rsid w:val="00950EE1"/>
    <w:rsid w:val="00951070"/>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4E"/>
    <w:rsid w:val="0095299D"/>
    <w:rsid w:val="00952CFE"/>
    <w:rsid w:val="00952E30"/>
    <w:rsid w:val="00952FDD"/>
    <w:rsid w:val="0095309F"/>
    <w:rsid w:val="00953B26"/>
    <w:rsid w:val="00953FC8"/>
    <w:rsid w:val="009540D1"/>
    <w:rsid w:val="009541E0"/>
    <w:rsid w:val="00954373"/>
    <w:rsid w:val="009544F5"/>
    <w:rsid w:val="00954537"/>
    <w:rsid w:val="00954783"/>
    <w:rsid w:val="009548A2"/>
    <w:rsid w:val="009549E3"/>
    <w:rsid w:val="0095515C"/>
    <w:rsid w:val="00955588"/>
    <w:rsid w:val="00955768"/>
    <w:rsid w:val="00955B06"/>
    <w:rsid w:val="00955C00"/>
    <w:rsid w:val="00955DA0"/>
    <w:rsid w:val="00955E3F"/>
    <w:rsid w:val="00955E7D"/>
    <w:rsid w:val="00956179"/>
    <w:rsid w:val="009561A2"/>
    <w:rsid w:val="009561A5"/>
    <w:rsid w:val="009562D7"/>
    <w:rsid w:val="00956369"/>
    <w:rsid w:val="00956560"/>
    <w:rsid w:val="009565CE"/>
    <w:rsid w:val="00956702"/>
    <w:rsid w:val="00956929"/>
    <w:rsid w:val="009569E4"/>
    <w:rsid w:val="00956CD7"/>
    <w:rsid w:val="00956D7A"/>
    <w:rsid w:val="00956FEC"/>
    <w:rsid w:val="00957263"/>
    <w:rsid w:val="0095748E"/>
    <w:rsid w:val="0095749D"/>
    <w:rsid w:val="009574D1"/>
    <w:rsid w:val="00957B67"/>
    <w:rsid w:val="00957BA5"/>
    <w:rsid w:val="00957C8D"/>
    <w:rsid w:val="00957D68"/>
    <w:rsid w:val="00957DE1"/>
    <w:rsid w:val="00957F5B"/>
    <w:rsid w:val="00957FE5"/>
    <w:rsid w:val="009601E7"/>
    <w:rsid w:val="0096027F"/>
    <w:rsid w:val="009602D8"/>
    <w:rsid w:val="0096073E"/>
    <w:rsid w:val="00960975"/>
    <w:rsid w:val="00960ABE"/>
    <w:rsid w:val="00960C90"/>
    <w:rsid w:val="0096102D"/>
    <w:rsid w:val="00961298"/>
    <w:rsid w:val="009612B7"/>
    <w:rsid w:val="00961371"/>
    <w:rsid w:val="0096143D"/>
    <w:rsid w:val="0096169E"/>
    <w:rsid w:val="009619F0"/>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50A5"/>
    <w:rsid w:val="009650E7"/>
    <w:rsid w:val="0096549F"/>
    <w:rsid w:val="009655EF"/>
    <w:rsid w:val="009657DE"/>
    <w:rsid w:val="009657DF"/>
    <w:rsid w:val="0096588B"/>
    <w:rsid w:val="00965AF9"/>
    <w:rsid w:val="00965C37"/>
    <w:rsid w:val="00965C58"/>
    <w:rsid w:val="00965CD5"/>
    <w:rsid w:val="00965CE0"/>
    <w:rsid w:val="00965CFC"/>
    <w:rsid w:val="00966132"/>
    <w:rsid w:val="009664BC"/>
    <w:rsid w:val="0096663B"/>
    <w:rsid w:val="009667B7"/>
    <w:rsid w:val="0096694E"/>
    <w:rsid w:val="00966956"/>
    <w:rsid w:val="00966969"/>
    <w:rsid w:val="00966A1F"/>
    <w:rsid w:val="00966ACA"/>
    <w:rsid w:val="00966D76"/>
    <w:rsid w:val="00966F11"/>
    <w:rsid w:val="0096721B"/>
    <w:rsid w:val="00967310"/>
    <w:rsid w:val="00967349"/>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23D"/>
    <w:rsid w:val="00972281"/>
    <w:rsid w:val="009726C4"/>
    <w:rsid w:val="00972743"/>
    <w:rsid w:val="00972786"/>
    <w:rsid w:val="009727C2"/>
    <w:rsid w:val="00972867"/>
    <w:rsid w:val="00972A39"/>
    <w:rsid w:val="00972D38"/>
    <w:rsid w:val="00972E11"/>
    <w:rsid w:val="00972F15"/>
    <w:rsid w:val="00973037"/>
    <w:rsid w:val="00973203"/>
    <w:rsid w:val="00973344"/>
    <w:rsid w:val="00973692"/>
    <w:rsid w:val="009736F5"/>
    <w:rsid w:val="009737E3"/>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640"/>
    <w:rsid w:val="00975A11"/>
    <w:rsid w:val="00975A39"/>
    <w:rsid w:val="00975AE7"/>
    <w:rsid w:val="00975B28"/>
    <w:rsid w:val="00975D38"/>
    <w:rsid w:val="00975D40"/>
    <w:rsid w:val="00975E1D"/>
    <w:rsid w:val="00975E1F"/>
    <w:rsid w:val="00975E50"/>
    <w:rsid w:val="00975ED5"/>
    <w:rsid w:val="00976228"/>
    <w:rsid w:val="0097691B"/>
    <w:rsid w:val="00976980"/>
    <w:rsid w:val="00976E33"/>
    <w:rsid w:val="0097707F"/>
    <w:rsid w:val="009771B5"/>
    <w:rsid w:val="00977325"/>
    <w:rsid w:val="00977373"/>
    <w:rsid w:val="00977463"/>
    <w:rsid w:val="009777F8"/>
    <w:rsid w:val="00977F8E"/>
    <w:rsid w:val="00977FB2"/>
    <w:rsid w:val="00980217"/>
    <w:rsid w:val="00980329"/>
    <w:rsid w:val="0098040D"/>
    <w:rsid w:val="0098077A"/>
    <w:rsid w:val="0098099E"/>
    <w:rsid w:val="00980BBD"/>
    <w:rsid w:val="00980C12"/>
    <w:rsid w:val="00980CA3"/>
    <w:rsid w:val="00980CB9"/>
    <w:rsid w:val="00980DA5"/>
    <w:rsid w:val="00980DC2"/>
    <w:rsid w:val="009810C9"/>
    <w:rsid w:val="0098124C"/>
    <w:rsid w:val="009814E4"/>
    <w:rsid w:val="00981CB2"/>
    <w:rsid w:val="00981E64"/>
    <w:rsid w:val="00981FF6"/>
    <w:rsid w:val="0098205B"/>
    <w:rsid w:val="0098205E"/>
    <w:rsid w:val="00982099"/>
    <w:rsid w:val="009821DC"/>
    <w:rsid w:val="009821F5"/>
    <w:rsid w:val="009823F6"/>
    <w:rsid w:val="00982531"/>
    <w:rsid w:val="0098273F"/>
    <w:rsid w:val="009829E8"/>
    <w:rsid w:val="00982A61"/>
    <w:rsid w:val="00982B98"/>
    <w:rsid w:val="00982C6C"/>
    <w:rsid w:val="00982C99"/>
    <w:rsid w:val="00982CFA"/>
    <w:rsid w:val="00982EB5"/>
    <w:rsid w:val="00983136"/>
    <w:rsid w:val="00983260"/>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587"/>
    <w:rsid w:val="00985655"/>
    <w:rsid w:val="00985682"/>
    <w:rsid w:val="009858D9"/>
    <w:rsid w:val="00985AA4"/>
    <w:rsid w:val="00985B43"/>
    <w:rsid w:val="00985C97"/>
    <w:rsid w:val="00985D2D"/>
    <w:rsid w:val="00986049"/>
    <w:rsid w:val="009860A9"/>
    <w:rsid w:val="009861B1"/>
    <w:rsid w:val="00986805"/>
    <w:rsid w:val="00986954"/>
    <w:rsid w:val="00986A91"/>
    <w:rsid w:val="00986B48"/>
    <w:rsid w:val="00986B74"/>
    <w:rsid w:val="00986C2E"/>
    <w:rsid w:val="00986F1B"/>
    <w:rsid w:val="00987152"/>
    <w:rsid w:val="00987278"/>
    <w:rsid w:val="009876DF"/>
    <w:rsid w:val="0098785F"/>
    <w:rsid w:val="00987A6B"/>
    <w:rsid w:val="00987AA5"/>
    <w:rsid w:val="00987AFB"/>
    <w:rsid w:val="00987B60"/>
    <w:rsid w:val="00987BED"/>
    <w:rsid w:val="00987D34"/>
    <w:rsid w:val="00987DEF"/>
    <w:rsid w:val="009900F2"/>
    <w:rsid w:val="009902AB"/>
    <w:rsid w:val="009904AE"/>
    <w:rsid w:val="00990686"/>
    <w:rsid w:val="0099083D"/>
    <w:rsid w:val="00990BA7"/>
    <w:rsid w:val="00990C1E"/>
    <w:rsid w:val="00990D34"/>
    <w:rsid w:val="00990DB5"/>
    <w:rsid w:val="00990EB5"/>
    <w:rsid w:val="00990EF8"/>
    <w:rsid w:val="00990EFB"/>
    <w:rsid w:val="009911BB"/>
    <w:rsid w:val="00991432"/>
    <w:rsid w:val="009914A1"/>
    <w:rsid w:val="00991539"/>
    <w:rsid w:val="009916A1"/>
    <w:rsid w:val="0099189E"/>
    <w:rsid w:val="00991981"/>
    <w:rsid w:val="00991DBC"/>
    <w:rsid w:val="00991EC5"/>
    <w:rsid w:val="00991EEE"/>
    <w:rsid w:val="0099260C"/>
    <w:rsid w:val="0099288C"/>
    <w:rsid w:val="00992989"/>
    <w:rsid w:val="009929F4"/>
    <w:rsid w:val="00992A34"/>
    <w:rsid w:val="00992AEE"/>
    <w:rsid w:val="00992F56"/>
    <w:rsid w:val="009930D4"/>
    <w:rsid w:val="0099335A"/>
    <w:rsid w:val="00993393"/>
    <w:rsid w:val="00993947"/>
    <w:rsid w:val="00993A10"/>
    <w:rsid w:val="00993CC1"/>
    <w:rsid w:val="00993F6D"/>
    <w:rsid w:val="00994000"/>
    <w:rsid w:val="0099419C"/>
    <w:rsid w:val="00994243"/>
    <w:rsid w:val="0099427B"/>
    <w:rsid w:val="009946B5"/>
    <w:rsid w:val="009946BE"/>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392"/>
    <w:rsid w:val="009966EB"/>
    <w:rsid w:val="00996728"/>
    <w:rsid w:val="009967B0"/>
    <w:rsid w:val="00996999"/>
    <w:rsid w:val="00996B4A"/>
    <w:rsid w:val="00996BB6"/>
    <w:rsid w:val="00996CEB"/>
    <w:rsid w:val="00996DAA"/>
    <w:rsid w:val="00996E61"/>
    <w:rsid w:val="00996FF4"/>
    <w:rsid w:val="009970C7"/>
    <w:rsid w:val="00997289"/>
    <w:rsid w:val="0099761A"/>
    <w:rsid w:val="009977EB"/>
    <w:rsid w:val="00997848"/>
    <w:rsid w:val="00997909"/>
    <w:rsid w:val="009979CD"/>
    <w:rsid w:val="009979DE"/>
    <w:rsid w:val="00997A58"/>
    <w:rsid w:val="00997B16"/>
    <w:rsid w:val="00997B43"/>
    <w:rsid w:val="00997B6D"/>
    <w:rsid w:val="00997E2C"/>
    <w:rsid w:val="00997EDC"/>
    <w:rsid w:val="00997FF6"/>
    <w:rsid w:val="009A01AE"/>
    <w:rsid w:val="009A01B3"/>
    <w:rsid w:val="009A02E6"/>
    <w:rsid w:val="009A05F8"/>
    <w:rsid w:val="009A0977"/>
    <w:rsid w:val="009A09E7"/>
    <w:rsid w:val="009A0B66"/>
    <w:rsid w:val="009A0B91"/>
    <w:rsid w:val="009A0BCC"/>
    <w:rsid w:val="009A0CCB"/>
    <w:rsid w:val="009A0CD8"/>
    <w:rsid w:val="009A0E17"/>
    <w:rsid w:val="009A1154"/>
    <w:rsid w:val="009A116A"/>
    <w:rsid w:val="009A11B4"/>
    <w:rsid w:val="009A12E5"/>
    <w:rsid w:val="009A1386"/>
    <w:rsid w:val="009A1732"/>
    <w:rsid w:val="009A1B10"/>
    <w:rsid w:val="009A1B2D"/>
    <w:rsid w:val="009A1DB4"/>
    <w:rsid w:val="009A1E73"/>
    <w:rsid w:val="009A1E78"/>
    <w:rsid w:val="009A1EA4"/>
    <w:rsid w:val="009A1F92"/>
    <w:rsid w:val="009A201A"/>
    <w:rsid w:val="009A20CE"/>
    <w:rsid w:val="009A2392"/>
    <w:rsid w:val="009A24A8"/>
    <w:rsid w:val="009A25B4"/>
    <w:rsid w:val="009A2604"/>
    <w:rsid w:val="009A27DE"/>
    <w:rsid w:val="009A27E8"/>
    <w:rsid w:val="009A2838"/>
    <w:rsid w:val="009A28EA"/>
    <w:rsid w:val="009A2A26"/>
    <w:rsid w:val="009A2A33"/>
    <w:rsid w:val="009A2AC4"/>
    <w:rsid w:val="009A2B41"/>
    <w:rsid w:val="009A2BEC"/>
    <w:rsid w:val="009A2D19"/>
    <w:rsid w:val="009A2D38"/>
    <w:rsid w:val="009A2DE2"/>
    <w:rsid w:val="009A2E0C"/>
    <w:rsid w:val="009A2F76"/>
    <w:rsid w:val="009A3288"/>
    <w:rsid w:val="009A32BA"/>
    <w:rsid w:val="009A3308"/>
    <w:rsid w:val="009A34FB"/>
    <w:rsid w:val="009A35D5"/>
    <w:rsid w:val="009A3884"/>
    <w:rsid w:val="009A3963"/>
    <w:rsid w:val="009A3A9A"/>
    <w:rsid w:val="009A3AFB"/>
    <w:rsid w:val="009A3C97"/>
    <w:rsid w:val="009A3D2F"/>
    <w:rsid w:val="009A3DB2"/>
    <w:rsid w:val="009A3E51"/>
    <w:rsid w:val="009A3EF5"/>
    <w:rsid w:val="009A3F93"/>
    <w:rsid w:val="009A40E3"/>
    <w:rsid w:val="009A4192"/>
    <w:rsid w:val="009A45E3"/>
    <w:rsid w:val="009A4765"/>
    <w:rsid w:val="009A47D8"/>
    <w:rsid w:val="009A4881"/>
    <w:rsid w:val="009A4ADE"/>
    <w:rsid w:val="009A52F1"/>
    <w:rsid w:val="009A540C"/>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5AA"/>
    <w:rsid w:val="009A65B1"/>
    <w:rsid w:val="009A66F2"/>
    <w:rsid w:val="009A684A"/>
    <w:rsid w:val="009A6852"/>
    <w:rsid w:val="009A695A"/>
    <w:rsid w:val="009A6A4B"/>
    <w:rsid w:val="009A6A7B"/>
    <w:rsid w:val="009A6C76"/>
    <w:rsid w:val="009A6CD5"/>
    <w:rsid w:val="009A6E04"/>
    <w:rsid w:val="009A7170"/>
    <w:rsid w:val="009A71D4"/>
    <w:rsid w:val="009A7522"/>
    <w:rsid w:val="009A7628"/>
    <w:rsid w:val="009A780B"/>
    <w:rsid w:val="009A781E"/>
    <w:rsid w:val="009A785E"/>
    <w:rsid w:val="009A7DD1"/>
    <w:rsid w:val="009A7E10"/>
    <w:rsid w:val="009A7F08"/>
    <w:rsid w:val="009B00AB"/>
    <w:rsid w:val="009B054C"/>
    <w:rsid w:val="009B055C"/>
    <w:rsid w:val="009B05A8"/>
    <w:rsid w:val="009B09A9"/>
    <w:rsid w:val="009B0AE6"/>
    <w:rsid w:val="009B0D0A"/>
    <w:rsid w:val="009B103C"/>
    <w:rsid w:val="009B128B"/>
    <w:rsid w:val="009B13C3"/>
    <w:rsid w:val="009B1776"/>
    <w:rsid w:val="009B1851"/>
    <w:rsid w:val="009B19D5"/>
    <w:rsid w:val="009B1C2E"/>
    <w:rsid w:val="009B1E8E"/>
    <w:rsid w:val="009B1F7D"/>
    <w:rsid w:val="009B1F87"/>
    <w:rsid w:val="009B20F2"/>
    <w:rsid w:val="009B2158"/>
    <w:rsid w:val="009B23F1"/>
    <w:rsid w:val="009B242E"/>
    <w:rsid w:val="009B24A7"/>
    <w:rsid w:val="009B25CE"/>
    <w:rsid w:val="009B2714"/>
    <w:rsid w:val="009B2830"/>
    <w:rsid w:val="009B294B"/>
    <w:rsid w:val="009B29DC"/>
    <w:rsid w:val="009B2A4D"/>
    <w:rsid w:val="009B2AEE"/>
    <w:rsid w:val="009B2B61"/>
    <w:rsid w:val="009B358A"/>
    <w:rsid w:val="009B36BC"/>
    <w:rsid w:val="009B3710"/>
    <w:rsid w:val="009B3857"/>
    <w:rsid w:val="009B3C27"/>
    <w:rsid w:val="009B3D26"/>
    <w:rsid w:val="009B3D9C"/>
    <w:rsid w:val="009B3F53"/>
    <w:rsid w:val="009B401F"/>
    <w:rsid w:val="009B4273"/>
    <w:rsid w:val="009B432D"/>
    <w:rsid w:val="009B43AF"/>
    <w:rsid w:val="009B43EE"/>
    <w:rsid w:val="009B445F"/>
    <w:rsid w:val="009B447B"/>
    <w:rsid w:val="009B4488"/>
    <w:rsid w:val="009B4539"/>
    <w:rsid w:val="009B45D8"/>
    <w:rsid w:val="009B469C"/>
    <w:rsid w:val="009B474A"/>
    <w:rsid w:val="009B4881"/>
    <w:rsid w:val="009B48AB"/>
    <w:rsid w:val="009B494E"/>
    <w:rsid w:val="009B499E"/>
    <w:rsid w:val="009B4A51"/>
    <w:rsid w:val="009B4B11"/>
    <w:rsid w:val="009B4C13"/>
    <w:rsid w:val="009B4C71"/>
    <w:rsid w:val="009B4D47"/>
    <w:rsid w:val="009B4E7A"/>
    <w:rsid w:val="009B559B"/>
    <w:rsid w:val="009B586B"/>
    <w:rsid w:val="009B5E2F"/>
    <w:rsid w:val="009B5E8A"/>
    <w:rsid w:val="009B6100"/>
    <w:rsid w:val="009B641D"/>
    <w:rsid w:val="009B64B7"/>
    <w:rsid w:val="009B6501"/>
    <w:rsid w:val="009B66D7"/>
    <w:rsid w:val="009B66ED"/>
    <w:rsid w:val="009B6AA2"/>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B3D"/>
    <w:rsid w:val="009B7C82"/>
    <w:rsid w:val="009B7CBF"/>
    <w:rsid w:val="009B7F38"/>
    <w:rsid w:val="009C01FA"/>
    <w:rsid w:val="009C0390"/>
    <w:rsid w:val="009C047D"/>
    <w:rsid w:val="009C04E0"/>
    <w:rsid w:val="009C0642"/>
    <w:rsid w:val="009C083C"/>
    <w:rsid w:val="009C0850"/>
    <w:rsid w:val="009C0A67"/>
    <w:rsid w:val="009C0D01"/>
    <w:rsid w:val="009C0DEC"/>
    <w:rsid w:val="009C1350"/>
    <w:rsid w:val="009C150D"/>
    <w:rsid w:val="009C1B71"/>
    <w:rsid w:val="009C1C04"/>
    <w:rsid w:val="009C1D2B"/>
    <w:rsid w:val="009C1FB9"/>
    <w:rsid w:val="009C2314"/>
    <w:rsid w:val="009C2319"/>
    <w:rsid w:val="009C26F6"/>
    <w:rsid w:val="009C2832"/>
    <w:rsid w:val="009C2A03"/>
    <w:rsid w:val="009C2B49"/>
    <w:rsid w:val="009C2BF1"/>
    <w:rsid w:val="009C2BF3"/>
    <w:rsid w:val="009C2D3D"/>
    <w:rsid w:val="009C3114"/>
    <w:rsid w:val="009C3279"/>
    <w:rsid w:val="009C3341"/>
    <w:rsid w:val="009C33BE"/>
    <w:rsid w:val="009C33DF"/>
    <w:rsid w:val="009C34A2"/>
    <w:rsid w:val="009C3612"/>
    <w:rsid w:val="009C3771"/>
    <w:rsid w:val="009C3A16"/>
    <w:rsid w:val="009C3AC6"/>
    <w:rsid w:val="009C3D1F"/>
    <w:rsid w:val="009C4081"/>
    <w:rsid w:val="009C40B4"/>
    <w:rsid w:val="009C4139"/>
    <w:rsid w:val="009C4156"/>
    <w:rsid w:val="009C47C8"/>
    <w:rsid w:val="009C49A7"/>
    <w:rsid w:val="009C49AD"/>
    <w:rsid w:val="009C4A08"/>
    <w:rsid w:val="009C4A40"/>
    <w:rsid w:val="009C4A4F"/>
    <w:rsid w:val="009C4C8B"/>
    <w:rsid w:val="009C4C98"/>
    <w:rsid w:val="009C4E3F"/>
    <w:rsid w:val="009C4E71"/>
    <w:rsid w:val="009C4ED2"/>
    <w:rsid w:val="009C5227"/>
    <w:rsid w:val="009C56D2"/>
    <w:rsid w:val="009C5753"/>
    <w:rsid w:val="009C578D"/>
    <w:rsid w:val="009C57EB"/>
    <w:rsid w:val="009C58D8"/>
    <w:rsid w:val="009C5943"/>
    <w:rsid w:val="009C5AB8"/>
    <w:rsid w:val="009C5AC0"/>
    <w:rsid w:val="009C5C09"/>
    <w:rsid w:val="009C5C29"/>
    <w:rsid w:val="009C5FA4"/>
    <w:rsid w:val="009C632D"/>
    <w:rsid w:val="009C6422"/>
    <w:rsid w:val="009C6449"/>
    <w:rsid w:val="009C6997"/>
    <w:rsid w:val="009C6A65"/>
    <w:rsid w:val="009C6D54"/>
    <w:rsid w:val="009C6F65"/>
    <w:rsid w:val="009C7338"/>
    <w:rsid w:val="009C737B"/>
    <w:rsid w:val="009C741A"/>
    <w:rsid w:val="009C74A2"/>
    <w:rsid w:val="009C761C"/>
    <w:rsid w:val="009C763E"/>
    <w:rsid w:val="009C76A8"/>
    <w:rsid w:val="009C79D2"/>
    <w:rsid w:val="009C7A47"/>
    <w:rsid w:val="009C7AFD"/>
    <w:rsid w:val="009C7B3A"/>
    <w:rsid w:val="009C7C64"/>
    <w:rsid w:val="009C7DC8"/>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2C1"/>
    <w:rsid w:val="009D14D1"/>
    <w:rsid w:val="009D1596"/>
    <w:rsid w:val="009D1669"/>
    <w:rsid w:val="009D17FF"/>
    <w:rsid w:val="009D18C3"/>
    <w:rsid w:val="009D1989"/>
    <w:rsid w:val="009D1BAE"/>
    <w:rsid w:val="009D1BCA"/>
    <w:rsid w:val="009D20AD"/>
    <w:rsid w:val="009D2227"/>
    <w:rsid w:val="009D23AA"/>
    <w:rsid w:val="009D247B"/>
    <w:rsid w:val="009D2998"/>
    <w:rsid w:val="009D2A83"/>
    <w:rsid w:val="009D2ADA"/>
    <w:rsid w:val="009D2E37"/>
    <w:rsid w:val="009D2F99"/>
    <w:rsid w:val="009D2FDC"/>
    <w:rsid w:val="009D3077"/>
    <w:rsid w:val="009D309D"/>
    <w:rsid w:val="009D319E"/>
    <w:rsid w:val="009D3262"/>
    <w:rsid w:val="009D3509"/>
    <w:rsid w:val="009D3780"/>
    <w:rsid w:val="009D3801"/>
    <w:rsid w:val="009D396A"/>
    <w:rsid w:val="009D3BAA"/>
    <w:rsid w:val="009D3C9A"/>
    <w:rsid w:val="009D3CA7"/>
    <w:rsid w:val="009D3D8C"/>
    <w:rsid w:val="009D3DDD"/>
    <w:rsid w:val="009D3F70"/>
    <w:rsid w:val="009D43D7"/>
    <w:rsid w:val="009D44B7"/>
    <w:rsid w:val="009D46EC"/>
    <w:rsid w:val="009D46EF"/>
    <w:rsid w:val="009D47B3"/>
    <w:rsid w:val="009D47C3"/>
    <w:rsid w:val="009D488D"/>
    <w:rsid w:val="009D48E6"/>
    <w:rsid w:val="009D4B6D"/>
    <w:rsid w:val="009D519A"/>
    <w:rsid w:val="009D53B9"/>
    <w:rsid w:val="009D543D"/>
    <w:rsid w:val="009D54AF"/>
    <w:rsid w:val="009D5799"/>
    <w:rsid w:val="009D57D1"/>
    <w:rsid w:val="009D59A6"/>
    <w:rsid w:val="009D59DE"/>
    <w:rsid w:val="009D5A42"/>
    <w:rsid w:val="009D5AB0"/>
    <w:rsid w:val="009D5FEA"/>
    <w:rsid w:val="009D60F5"/>
    <w:rsid w:val="009D6145"/>
    <w:rsid w:val="009D6225"/>
    <w:rsid w:val="009D6620"/>
    <w:rsid w:val="009D669D"/>
    <w:rsid w:val="009D673C"/>
    <w:rsid w:val="009D67D0"/>
    <w:rsid w:val="009D6C5A"/>
    <w:rsid w:val="009D6C88"/>
    <w:rsid w:val="009D702A"/>
    <w:rsid w:val="009D7143"/>
    <w:rsid w:val="009D732A"/>
    <w:rsid w:val="009D75C9"/>
    <w:rsid w:val="009D7761"/>
    <w:rsid w:val="009D7936"/>
    <w:rsid w:val="009D7B38"/>
    <w:rsid w:val="009D7BE5"/>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B03"/>
    <w:rsid w:val="009E1B50"/>
    <w:rsid w:val="009E1B82"/>
    <w:rsid w:val="009E1E6C"/>
    <w:rsid w:val="009E1EAB"/>
    <w:rsid w:val="009E2329"/>
    <w:rsid w:val="009E2397"/>
    <w:rsid w:val="009E2407"/>
    <w:rsid w:val="009E2B85"/>
    <w:rsid w:val="009E321C"/>
    <w:rsid w:val="009E349C"/>
    <w:rsid w:val="009E34A7"/>
    <w:rsid w:val="009E35C0"/>
    <w:rsid w:val="009E3793"/>
    <w:rsid w:val="009E3886"/>
    <w:rsid w:val="009E39E7"/>
    <w:rsid w:val="009E3AEA"/>
    <w:rsid w:val="009E3DF8"/>
    <w:rsid w:val="009E3F59"/>
    <w:rsid w:val="009E3F87"/>
    <w:rsid w:val="009E3FC8"/>
    <w:rsid w:val="009E3FEB"/>
    <w:rsid w:val="009E4225"/>
    <w:rsid w:val="009E42E9"/>
    <w:rsid w:val="009E43F0"/>
    <w:rsid w:val="009E49CE"/>
    <w:rsid w:val="009E4CA3"/>
    <w:rsid w:val="009E4DCE"/>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7CA"/>
    <w:rsid w:val="009E7A48"/>
    <w:rsid w:val="009E7D59"/>
    <w:rsid w:val="009F043B"/>
    <w:rsid w:val="009F0AEC"/>
    <w:rsid w:val="009F0D2F"/>
    <w:rsid w:val="009F0E7A"/>
    <w:rsid w:val="009F0F68"/>
    <w:rsid w:val="009F12E4"/>
    <w:rsid w:val="009F1346"/>
    <w:rsid w:val="009F153B"/>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4172"/>
    <w:rsid w:val="009F41E5"/>
    <w:rsid w:val="009F45B7"/>
    <w:rsid w:val="009F463E"/>
    <w:rsid w:val="009F4660"/>
    <w:rsid w:val="009F4662"/>
    <w:rsid w:val="009F4668"/>
    <w:rsid w:val="009F475F"/>
    <w:rsid w:val="009F4AA4"/>
    <w:rsid w:val="009F4D29"/>
    <w:rsid w:val="009F4EF7"/>
    <w:rsid w:val="009F5067"/>
    <w:rsid w:val="009F515B"/>
    <w:rsid w:val="009F5338"/>
    <w:rsid w:val="009F547C"/>
    <w:rsid w:val="009F551A"/>
    <w:rsid w:val="009F565A"/>
    <w:rsid w:val="009F594A"/>
    <w:rsid w:val="009F5CB5"/>
    <w:rsid w:val="009F5D5D"/>
    <w:rsid w:val="009F5EC1"/>
    <w:rsid w:val="009F6066"/>
    <w:rsid w:val="009F637C"/>
    <w:rsid w:val="009F6415"/>
    <w:rsid w:val="009F6512"/>
    <w:rsid w:val="009F6557"/>
    <w:rsid w:val="009F66AD"/>
    <w:rsid w:val="009F6AA6"/>
    <w:rsid w:val="009F6AB6"/>
    <w:rsid w:val="009F6B2A"/>
    <w:rsid w:val="009F6DD9"/>
    <w:rsid w:val="009F6F46"/>
    <w:rsid w:val="009F7080"/>
    <w:rsid w:val="009F70A4"/>
    <w:rsid w:val="009F70AF"/>
    <w:rsid w:val="009F7434"/>
    <w:rsid w:val="009F756E"/>
    <w:rsid w:val="009F7590"/>
    <w:rsid w:val="009F794A"/>
    <w:rsid w:val="009F7A3D"/>
    <w:rsid w:val="009F7BBC"/>
    <w:rsid w:val="009F7BF7"/>
    <w:rsid w:val="009F7DA7"/>
    <w:rsid w:val="00A00030"/>
    <w:rsid w:val="00A00039"/>
    <w:rsid w:val="00A00509"/>
    <w:rsid w:val="00A0068E"/>
    <w:rsid w:val="00A0074C"/>
    <w:rsid w:val="00A00902"/>
    <w:rsid w:val="00A00BCB"/>
    <w:rsid w:val="00A00BE1"/>
    <w:rsid w:val="00A00CD1"/>
    <w:rsid w:val="00A00D5D"/>
    <w:rsid w:val="00A00DC2"/>
    <w:rsid w:val="00A0103D"/>
    <w:rsid w:val="00A01045"/>
    <w:rsid w:val="00A01491"/>
    <w:rsid w:val="00A01550"/>
    <w:rsid w:val="00A01647"/>
    <w:rsid w:val="00A01769"/>
    <w:rsid w:val="00A01774"/>
    <w:rsid w:val="00A0179B"/>
    <w:rsid w:val="00A01857"/>
    <w:rsid w:val="00A01ADC"/>
    <w:rsid w:val="00A01C2F"/>
    <w:rsid w:val="00A01E18"/>
    <w:rsid w:val="00A020AA"/>
    <w:rsid w:val="00A020FC"/>
    <w:rsid w:val="00A026D7"/>
    <w:rsid w:val="00A027CD"/>
    <w:rsid w:val="00A029FC"/>
    <w:rsid w:val="00A02A13"/>
    <w:rsid w:val="00A02B63"/>
    <w:rsid w:val="00A02C87"/>
    <w:rsid w:val="00A02D20"/>
    <w:rsid w:val="00A02E61"/>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1E"/>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4AD"/>
    <w:rsid w:val="00A054C5"/>
    <w:rsid w:val="00A0568E"/>
    <w:rsid w:val="00A056DC"/>
    <w:rsid w:val="00A05819"/>
    <w:rsid w:val="00A05A66"/>
    <w:rsid w:val="00A05B1E"/>
    <w:rsid w:val="00A05B61"/>
    <w:rsid w:val="00A062A2"/>
    <w:rsid w:val="00A062C4"/>
    <w:rsid w:val="00A0634B"/>
    <w:rsid w:val="00A06944"/>
    <w:rsid w:val="00A06B8A"/>
    <w:rsid w:val="00A06CB7"/>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F43"/>
    <w:rsid w:val="00A113E8"/>
    <w:rsid w:val="00A11493"/>
    <w:rsid w:val="00A1149D"/>
    <w:rsid w:val="00A11731"/>
    <w:rsid w:val="00A1192D"/>
    <w:rsid w:val="00A11B40"/>
    <w:rsid w:val="00A11B59"/>
    <w:rsid w:val="00A11B8D"/>
    <w:rsid w:val="00A11C19"/>
    <w:rsid w:val="00A12358"/>
    <w:rsid w:val="00A12438"/>
    <w:rsid w:val="00A12563"/>
    <w:rsid w:val="00A126B4"/>
    <w:rsid w:val="00A12BC5"/>
    <w:rsid w:val="00A12C15"/>
    <w:rsid w:val="00A12DB6"/>
    <w:rsid w:val="00A1302C"/>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2E"/>
    <w:rsid w:val="00A17C68"/>
    <w:rsid w:val="00A17C9C"/>
    <w:rsid w:val="00A17E04"/>
    <w:rsid w:val="00A17E43"/>
    <w:rsid w:val="00A17EEB"/>
    <w:rsid w:val="00A20104"/>
    <w:rsid w:val="00A20694"/>
    <w:rsid w:val="00A208A9"/>
    <w:rsid w:val="00A20A4A"/>
    <w:rsid w:val="00A20E10"/>
    <w:rsid w:val="00A20E2E"/>
    <w:rsid w:val="00A20F8B"/>
    <w:rsid w:val="00A21006"/>
    <w:rsid w:val="00A2133F"/>
    <w:rsid w:val="00A21429"/>
    <w:rsid w:val="00A2172A"/>
    <w:rsid w:val="00A217B5"/>
    <w:rsid w:val="00A21B01"/>
    <w:rsid w:val="00A21D9A"/>
    <w:rsid w:val="00A21DAC"/>
    <w:rsid w:val="00A22146"/>
    <w:rsid w:val="00A2244B"/>
    <w:rsid w:val="00A2268A"/>
    <w:rsid w:val="00A226F3"/>
    <w:rsid w:val="00A22758"/>
    <w:rsid w:val="00A227DD"/>
    <w:rsid w:val="00A2285C"/>
    <w:rsid w:val="00A22864"/>
    <w:rsid w:val="00A228BD"/>
    <w:rsid w:val="00A229A1"/>
    <w:rsid w:val="00A22B29"/>
    <w:rsid w:val="00A22F76"/>
    <w:rsid w:val="00A23184"/>
    <w:rsid w:val="00A23367"/>
    <w:rsid w:val="00A233D2"/>
    <w:rsid w:val="00A236AA"/>
    <w:rsid w:val="00A23909"/>
    <w:rsid w:val="00A23BDD"/>
    <w:rsid w:val="00A23EA4"/>
    <w:rsid w:val="00A23F7F"/>
    <w:rsid w:val="00A24521"/>
    <w:rsid w:val="00A245C8"/>
    <w:rsid w:val="00A24839"/>
    <w:rsid w:val="00A24BBE"/>
    <w:rsid w:val="00A24BDC"/>
    <w:rsid w:val="00A24DF6"/>
    <w:rsid w:val="00A24E69"/>
    <w:rsid w:val="00A24FB9"/>
    <w:rsid w:val="00A250F6"/>
    <w:rsid w:val="00A2539C"/>
    <w:rsid w:val="00A2544D"/>
    <w:rsid w:val="00A25854"/>
    <w:rsid w:val="00A258A9"/>
    <w:rsid w:val="00A2592E"/>
    <w:rsid w:val="00A25B00"/>
    <w:rsid w:val="00A25BAA"/>
    <w:rsid w:val="00A25BFE"/>
    <w:rsid w:val="00A25CFA"/>
    <w:rsid w:val="00A25DF2"/>
    <w:rsid w:val="00A25EED"/>
    <w:rsid w:val="00A260FE"/>
    <w:rsid w:val="00A26187"/>
    <w:rsid w:val="00A261BD"/>
    <w:rsid w:val="00A26472"/>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30082"/>
    <w:rsid w:val="00A3034D"/>
    <w:rsid w:val="00A3058E"/>
    <w:rsid w:val="00A3066D"/>
    <w:rsid w:val="00A307DC"/>
    <w:rsid w:val="00A30847"/>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937"/>
    <w:rsid w:val="00A32D2B"/>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2D3"/>
    <w:rsid w:val="00A35622"/>
    <w:rsid w:val="00A356C1"/>
    <w:rsid w:val="00A356FF"/>
    <w:rsid w:val="00A3573A"/>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C3B"/>
    <w:rsid w:val="00A40FA8"/>
    <w:rsid w:val="00A40FBA"/>
    <w:rsid w:val="00A410ED"/>
    <w:rsid w:val="00A41363"/>
    <w:rsid w:val="00A4149B"/>
    <w:rsid w:val="00A41573"/>
    <w:rsid w:val="00A41636"/>
    <w:rsid w:val="00A416C8"/>
    <w:rsid w:val="00A41711"/>
    <w:rsid w:val="00A41A0A"/>
    <w:rsid w:val="00A41B1A"/>
    <w:rsid w:val="00A41C0B"/>
    <w:rsid w:val="00A42020"/>
    <w:rsid w:val="00A420BA"/>
    <w:rsid w:val="00A4227F"/>
    <w:rsid w:val="00A42314"/>
    <w:rsid w:val="00A42636"/>
    <w:rsid w:val="00A42864"/>
    <w:rsid w:val="00A4299A"/>
    <w:rsid w:val="00A429A0"/>
    <w:rsid w:val="00A42CD4"/>
    <w:rsid w:val="00A42F44"/>
    <w:rsid w:val="00A433E7"/>
    <w:rsid w:val="00A436F7"/>
    <w:rsid w:val="00A4399D"/>
    <w:rsid w:val="00A43B5D"/>
    <w:rsid w:val="00A43C63"/>
    <w:rsid w:val="00A43D65"/>
    <w:rsid w:val="00A44048"/>
    <w:rsid w:val="00A4407A"/>
    <w:rsid w:val="00A4416F"/>
    <w:rsid w:val="00A441D9"/>
    <w:rsid w:val="00A44201"/>
    <w:rsid w:val="00A44415"/>
    <w:rsid w:val="00A444EC"/>
    <w:rsid w:val="00A446B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F47"/>
    <w:rsid w:val="00A45FCD"/>
    <w:rsid w:val="00A4609D"/>
    <w:rsid w:val="00A460BD"/>
    <w:rsid w:val="00A460BE"/>
    <w:rsid w:val="00A46208"/>
    <w:rsid w:val="00A4648A"/>
    <w:rsid w:val="00A4672F"/>
    <w:rsid w:val="00A46A3C"/>
    <w:rsid w:val="00A46A9D"/>
    <w:rsid w:val="00A46BC1"/>
    <w:rsid w:val="00A46CBC"/>
    <w:rsid w:val="00A46EDD"/>
    <w:rsid w:val="00A46F35"/>
    <w:rsid w:val="00A471FD"/>
    <w:rsid w:val="00A473AA"/>
    <w:rsid w:val="00A47537"/>
    <w:rsid w:val="00A476FB"/>
    <w:rsid w:val="00A4778D"/>
    <w:rsid w:val="00A47D3F"/>
    <w:rsid w:val="00A47D95"/>
    <w:rsid w:val="00A47F1E"/>
    <w:rsid w:val="00A5028B"/>
    <w:rsid w:val="00A502AC"/>
    <w:rsid w:val="00A503AD"/>
    <w:rsid w:val="00A504FF"/>
    <w:rsid w:val="00A5058E"/>
    <w:rsid w:val="00A50604"/>
    <w:rsid w:val="00A50751"/>
    <w:rsid w:val="00A50867"/>
    <w:rsid w:val="00A50B1C"/>
    <w:rsid w:val="00A50B44"/>
    <w:rsid w:val="00A50BC9"/>
    <w:rsid w:val="00A51011"/>
    <w:rsid w:val="00A51034"/>
    <w:rsid w:val="00A512F9"/>
    <w:rsid w:val="00A515DE"/>
    <w:rsid w:val="00A51609"/>
    <w:rsid w:val="00A5168B"/>
    <w:rsid w:val="00A517DE"/>
    <w:rsid w:val="00A51AD8"/>
    <w:rsid w:val="00A51E99"/>
    <w:rsid w:val="00A51FBD"/>
    <w:rsid w:val="00A52039"/>
    <w:rsid w:val="00A52126"/>
    <w:rsid w:val="00A52245"/>
    <w:rsid w:val="00A524D2"/>
    <w:rsid w:val="00A525F0"/>
    <w:rsid w:val="00A528A5"/>
    <w:rsid w:val="00A52F37"/>
    <w:rsid w:val="00A5318B"/>
    <w:rsid w:val="00A53260"/>
    <w:rsid w:val="00A53293"/>
    <w:rsid w:val="00A5343C"/>
    <w:rsid w:val="00A534DA"/>
    <w:rsid w:val="00A53717"/>
    <w:rsid w:val="00A5374D"/>
    <w:rsid w:val="00A5378C"/>
    <w:rsid w:val="00A5398E"/>
    <w:rsid w:val="00A53B0A"/>
    <w:rsid w:val="00A53B0D"/>
    <w:rsid w:val="00A53B3F"/>
    <w:rsid w:val="00A53EB4"/>
    <w:rsid w:val="00A53EEE"/>
    <w:rsid w:val="00A541B3"/>
    <w:rsid w:val="00A541FC"/>
    <w:rsid w:val="00A54348"/>
    <w:rsid w:val="00A544EC"/>
    <w:rsid w:val="00A54574"/>
    <w:rsid w:val="00A546D1"/>
    <w:rsid w:val="00A54A2F"/>
    <w:rsid w:val="00A54F1B"/>
    <w:rsid w:val="00A5559F"/>
    <w:rsid w:val="00A55857"/>
    <w:rsid w:val="00A55A0C"/>
    <w:rsid w:val="00A55D21"/>
    <w:rsid w:val="00A55D5A"/>
    <w:rsid w:val="00A55DDB"/>
    <w:rsid w:val="00A55EAD"/>
    <w:rsid w:val="00A560BE"/>
    <w:rsid w:val="00A561B5"/>
    <w:rsid w:val="00A56458"/>
    <w:rsid w:val="00A564A2"/>
    <w:rsid w:val="00A56537"/>
    <w:rsid w:val="00A5654F"/>
    <w:rsid w:val="00A5668C"/>
    <w:rsid w:val="00A566C7"/>
    <w:rsid w:val="00A56728"/>
    <w:rsid w:val="00A56B85"/>
    <w:rsid w:val="00A56CE4"/>
    <w:rsid w:val="00A56D1B"/>
    <w:rsid w:val="00A56D5B"/>
    <w:rsid w:val="00A56EC5"/>
    <w:rsid w:val="00A56F2C"/>
    <w:rsid w:val="00A56FD9"/>
    <w:rsid w:val="00A572AC"/>
    <w:rsid w:val="00A5735B"/>
    <w:rsid w:val="00A573B7"/>
    <w:rsid w:val="00A5742F"/>
    <w:rsid w:val="00A57486"/>
    <w:rsid w:val="00A57BEC"/>
    <w:rsid w:val="00A600DC"/>
    <w:rsid w:val="00A601AA"/>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4C7"/>
    <w:rsid w:val="00A654CA"/>
    <w:rsid w:val="00A65602"/>
    <w:rsid w:val="00A65776"/>
    <w:rsid w:val="00A6580F"/>
    <w:rsid w:val="00A6582C"/>
    <w:rsid w:val="00A65AF8"/>
    <w:rsid w:val="00A65C1B"/>
    <w:rsid w:val="00A65E07"/>
    <w:rsid w:val="00A65EE5"/>
    <w:rsid w:val="00A65F7F"/>
    <w:rsid w:val="00A660BF"/>
    <w:rsid w:val="00A662E0"/>
    <w:rsid w:val="00A663BB"/>
    <w:rsid w:val="00A663FD"/>
    <w:rsid w:val="00A66865"/>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02"/>
    <w:rsid w:val="00A700F6"/>
    <w:rsid w:val="00A70241"/>
    <w:rsid w:val="00A703F6"/>
    <w:rsid w:val="00A705A7"/>
    <w:rsid w:val="00A7061F"/>
    <w:rsid w:val="00A706E7"/>
    <w:rsid w:val="00A706FB"/>
    <w:rsid w:val="00A7091B"/>
    <w:rsid w:val="00A7092B"/>
    <w:rsid w:val="00A70BA6"/>
    <w:rsid w:val="00A70FB0"/>
    <w:rsid w:val="00A71064"/>
    <w:rsid w:val="00A710A9"/>
    <w:rsid w:val="00A710AF"/>
    <w:rsid w:val="00A710B7"/>
    <w:rsid w:val="00A710EE"/>
    <w:rsid w:val="00A71310"/>
    <w:rsid w:val="00A7139B"/>
    <w:rsid w:val="00A713F9"/>
    <w:rsid w:val="00A71544"/>
    <w:rsid w:val="00A716D7"/>
    <w:rsid w:val="00A7177F"/>
    <w:rsid w:val="00A71961"/>
    <w:rsid w:val="00A71AB9"/>
    <w:rsid w:val="00A71B1C"/>
    <w:rsid w:val="00A71E7E"/>
    <w:rsid w:val="00A71FC3"/>
    <w:rsid w:val="00A7223A"/>
    <w:rsid w:val="00A724E5"/>
    <w:rsid w:val="00A725D4"/>
    <w:rsid w:val="00A7267E"/>
    <w:rsid w:val="00A72864"/>
    <w:rsid w:val="00A72A61"/>
    <w:rsid w:val="00A72A7A"/>
    <w:rsid w:val="00A72AB8"/>
    <w:rsid w:val="00A72DC4"/>
    <w:rsid w:val="00A72EAB"/>
    <w:rsid w:val="00A72F19"/>
    <w:rsid w:val="00A73151"/>
    <w:rsid w:val="00A731CA"/>
    <w:rsid w:val="00A732FD"/>
    <w:rsid w:val="00A734EE"/>
    <w:rsid w:val="00A7353D"/>
    <w:rsid w:val="00A736AC"/>
    <w:rsid w:val="00A73735"/>
    <w:rsid w:val="00A7390F"/>
    <w:rsid w:val="00A739A9"/>
    <w:rsid w:val="00A73A12"/>
    <w:rsid w:val="00A73C05"/>
    <w:rsid w:val="00A73C14"/>
    <w:rsid w:val="00A73ECD"/>
    <w:rsid w:val="00A741B8"/>
    <w:rsid w:val="00A7442C"/>
    <w:rsid w:val="00A74444"/>
    <w:rsid w:val="00A7458D"/>
    <w:rsid w:val="00A7467C"/>
    <w:rsid w:val="00A74747"/>
    <w:rsid w:val="00A74950"/>
    <w:rsid w:val="00A74CDB"/>
    <w:rsid w:val="00A74E25"/>
    <w:rsid w:val="00A75437"/>
    <w:rsid w:val="00A75492"/>
    <w:rsid w:val="00A7549A"/>
    <w:rsid w:val="00A75542"/>
    <w:rsid w:val="00A75588"/>
    <w:rsid w:val="00A75618"/>
    <w:rsid w:val="00A75818"/>
    <w:rsid w:val="00A75A1C"/>
    <w:rsid w:val="00A75CB9"/>
    <w:rsid w:val="00A75DF7"/>
    <w:rsid w:val="00A760F2"/>
    <w:rsid w:val="00A761C8"/>
    <w:rsid w:val="00A763C7"/>
    <w:rsid w:val="00A764E4"/>
    <w:rsid w:val="00A765DD"/>
    <w:rsid w:val="00A76685"/>
    <w:rsid w:val="00A76A07"/>
    <w:rsid w:val="00A76A13"/>
    <w:rsid w:val="00A76A56"/>
    <w:rsid w:val="00A76C06"/>
    <w:rsid w:val="00A76C8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8F"/>
    <w:rsid w:val="00A807DE"/>
    <w:rsid w:val="00A80819"/>
    <w:rsid w:val="00A80952"/>
    <w:rsid w:val="00A80B62"/>
    <w:rsid w:val="00A80B79"/>
    <w:rsid w:val="00A80B86"/>
    <w:rsid w:val="00A80C3F"/>
    <w:rsid w:val="00A81054"/>
    <w:rsid w:val="00A81369"/>
    <w:rsid w:val="00A81439"/>
    <w:rsid w:val="00A815C4"/>
    <w:rsid w:val="00A81612"/>
    <w:rsid w:val="00A8169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3F4E"/>
    <w:rsid w:val="00A8400D"/>
    <w:rsid w:val="00A84409"/>
    <w:rsid w:val="00A84465"/>
    <w:rsid w:val="00A84610"/>
    <w:rsid w:val="00A84680"/>
    <w:rsid w:val="00A84B7B"/>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564"/>
    <w:rsid w:val="00A87568"/>
    <w:rsid w:val="00A87742"/>
    <w:rsid w:val="00A878AC"/>
    <w:rsid w:val="00A87938"/>
    <w:rsid w:val="00A879EB"/>
    <w:rsid w:val="00A87A4C"/>
    <w:rsid w:val="00A87B66"/>
    <w:rsid w:val="00A87D33"/>
    <w:rsid w:val="00A87EB5"/>
    <w:rsid w:val="00A90616"/>
    <w:rsid w:val="00A906FF"/>
    <w:rsid w:val="00A908FF"/>
    <w:rsid w:val="00A90A08"/>
    <w:rsid w:val="00A90B43"/>
    <w:rsid w:val="00A90B7B"/>
    <w:rsid w:val="00A90E51"/>
    <w:rsid w:val="00A91005"/>
    <w:rsid w:val="00A910B4"/>
    <w:rsid w:val="00A91184"/>
    <w:rsid w:val="00A9150F"/>
    <w:rsid w:val="00A916E0"/>
    <w:rsid w:val="00A91796"/>
    <w:rsid w:val="00A9181D"/>
    <w:rsid w:val="00A918FB"/>
    <w:rsid w:val="00A919A1"/>
    <w:rsid w:val="00A919E6"/>
    <w:rsid w:val="00A91AEE"/>
    <w:rsid w:val="00A91B8A"/>
    <w:rsid w:val="00A91E8C"/>
    <w:rsid w:val="00A92295"/>
    <w:rsid w:val="00A925F3"/>
    <w:rsid w:val="00A92602"/>
    <w:rsid w:val="00A92891"/>
    <w:rsid w:val="00A92943"/>
    <w:rsid w:val="00A92C3D"/>
    <w:rsid w:val="00A92CAD"/>
    <w:rsid w:val="00A92D83"/>
    <w:rsid w:val="00A92E66"/>
    <w:rsid w:val="00A92EA8"/>
    <w:rsid w:val="00A92F91"/>
    <w:rsid w:val="00A92FCF"/>
    <w:rsid w:val="00A9349E"/>
    <w:rsid w:val="00A935B1"/>
    <w:rsid w:val="00A93609"/>
    <w:rsid w:val="00A9362A"/>
    <w:rsid w:val="00A9378B"/>
    <w:rsid w:val="00A93822"/>
    <w:rsid w:val="00A93850"/>
    <w:rsid w:val="00A9388A"/>
    <w:rsid w:val="00A9393C"/>
    <w:rsid w:val="00A93AC9"/>
    <w:rsid w:val="00A93DAA"/>
    <w:rsid w:val="00A93E96"/>
    <w:rsid w:val="00A9408B"/>
    <w:rsid w:val="00A940EC"/>
    <w:rsid w:val="00A9410C"/>
    <w:rsid w:val="00A941A9"/>
    <w:rsid w:val="00A941BE"/>
    <w:rsid w:val="00A945F4"/>
    <w:rsid w:val="00A946C7"/>
    <w:rsid w:val="00A9482D"/>
    <w:rsid w:val="00A9484B"/>
    <w:rsid w:val="00A948C6"/>
    <w:rsid w:val="00A94AFF"/>
    <w:rsid w:val="00A94FFD"/>
    <w:rsid w:val="00A95084"/>
    <w:rsid w:val="00A95099"/>
    <w:rsid w:val="00A950E9"/>
    <w:rsid w:val="00A95104"/>
    <w:rsid w:val="00A9531B"/>
    <w:rsid w:val="00A95375"/>
    <w:rsid w:val="00A95386"/>
    <w:rsid w:val="00A95649"/>
    <w:rsid w:val="00A95746"/>
    <w:rsid w:val="00A95BDA"/>
    <w:rsid w:val="00A95C09"/>
    <w:rsid w:val="00A95CAD"/>
    <w:rsid w:val="00A95E2C"/>
    <w:rsid w:val="00A95FD5"/>
    <w:rsid w:val="00A95FF3"/>
    <w:rsid w:val="00A96067"/>
    <w:rsid w:val="00A960BF"/>
    <w:rsid w:val="00A96103"/>
    <w:rsid w:val="00A965E8"/>
    <w:rsid w:val="00A968B6"/>
    <w:rsid w:val="00A968C2"/>
    <w:rsid w:val="00A969DE"/>
    <w:rsid w:val="00A96DD9"/>
    <w:rsid w:val="00A96EB9"/>
    <w:rsid w:val="00A9700A"/>
    <w:rsid w:val="00A9701E"/>
    <w:rsid w:val="00A97118"/>
    <w:rsid w:val="00A9753D"/>
    <w:rsid w:val="00A979A8"/>
    <w:rsid w:val="00A97B31"/>
    <w:rsid w:val="00A97B61"/>
    <w:rsid w:val="00A97F61"/>
    <w:rsid w:val="00AA00C7"/>
    <w:rsid w:val="00AA04BB"/>
    <w:rsid w:val="00AA060F"/>
    <w:rsid w:val="00AA06EB"/>
    <w:rsid w:val="00AA07C9"/>
    <w:rsid w:val="00AA07DE"/>
    <w:rsid w:val="00AA0E4E"/>
    <w:rsid w:val="00AA0FAE"/>
    <w:rsid w:val="00AA0FB4"/>
    <w:rsid w:val="00AA0FDC"/>
    <w:rsid w:val="00AA1060"/>
    <w:rsid w:val="00AA111A"/>
    <w:rsid w:val="00AA119B"/>
    <w:rsid w:val="00AA1387"/>
    <w:rsid w:val="00AA1481"/>
    <w:rsid w:val="00AA17BF"/>
    <w:rsid w:val="00AA17E3"/>
    <w:rsid w:val="00AA1861"/>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3B"/>
    <w:rsid w:val="00AA2869"/>
    <w:rsid w:val="00AA289D"/>
    <w:rsid w:val="00AA28E1"/>
    <w:rsid w:val="00AA2D35"/>
    <w:rsid w:val="00AA2E3E"/>
    <w:rsid w:val="00AA2F46"/>
    <w:rsid w:val="00AA2FB7"/>
    <w:rsid w:val="00AA3206"/>
    <w:rsid w:val="00AA32E4"/>
    <w:rsid w:val="00AA3416"/>
    <w:rsid w:val="00AA3451"/>
    <w:rsid w:val="00AA35A4"/>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A1B"/>
    <w:rsid w:val="00AA6A8F"/>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F3B"/>
    <w:rsid w:val="00AA7FB1"/>
    <w:rsid w:val="00AB06AF"/>
    <w:rsid w:val="00AB0745"/>
    <w:rsid w:val="00AB0BE8"/>
    <w:rsid w:val="00AB0F11"/>
    <w:rsid w:val="00AB0FB6"/>
    <w:rsid w:val="00AB1249"/>
    <w:rsid w:val="00AB13CE"/>
    <w:rsid w:val="00AB15AA"/>
    <w:rsid w:val="00AB15FA"/>
    <w:rsid w:val="00AB17B0"/>
    <w:rsid w:val="00AB1933"/>
    <w:rsid w:val="00AB1AF2"/>
    <w:rsid w:val="00AB1B0B"/>
    <w:rsid w:val="00AB1C77"/>
    <w:rsid w:val="00AB1F15"/>
    <w:rsid w:val="00AB1F4B"/>
    <w:rsid w:val="00AB1F5C"/>
    <w:rsid w:val="00AB1F66"/>
    <w:rsid w:val="00AB1FDD"/>
    <w:rsid w:val="00AB1FE6"/>
    <w:rsid w:val="00AB2348"/>
    <w:rsid w:val="00AB235C"/>
    <w:rsid w:val="00AB244F"/>
    <w:rsid w:val="00AB2540"/>
    <w:rsid w:val="00AB28B9"/>
    <w:rsid w:val="00AB29C1"/>
    <w:rsid w:val="00AB2A8F"/>
    <w:rsid w:val="00AB2AD0"/>
    <w:rsid w:val="00AB2E1C"/>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6C"/>
    <w:rsid w:val="00AB46E6"/>
    <w:rsid w:val="00AB47A2"/>
    <w:rsid w:val="00AB4918"/>
    <w:rsid w:val="00AB49DB"/>
    <w:rsid w:val="00AB4C03"/>
    <w:rsid w:val="00AB4CC2"/>
    <w:rsid w:val="00AB4E5A"/>
    <w:rsid w:val="00AB4E67"/>
    <w:rsid w:val="00AB4EE0"/>
    <w:rsid w:val="00AB5318"/>
    <w:rsid w:val="00AB55B3"/>
    <w:rsid w:val="00AB567A"/>
    <w:rsid w:val="00AB5698"/>
    <w:rsid w:val="00AB59F0"/>
    <w:rsid w:val="00AB5AA1"/>
    <w:rsid w:val="00AB5CB9"/>
    <w:rsid w:val="00AB5D98"/>
    <w:rsid w:val="00AB5FAA"/>
    <w:rsid w:val="00AB6312"/>
    <w:rsid w:val="00AB64D2"/>
    <w:rsid w:val="00AB665F"/>
    <w:rsid w:val="00AB66AD"/>
    <w:rsid w:val="00AB67ED"/>
    <w:rsid w:val="00AB680E"/>
    <w:rsid w:val="00AB6D62"/>
    <w:rsid w:val="00AB7141"/>
    <w:rsid w:val="00AB71D0"/>
    <w:rsid w:val="00AB72AB"/>
    <w:rsid w:val="00AB742A"/>
    <w:rsid w:val="00AB76EF"/>
    <w:rsid w:val="00AB785E"/>
    <w:rsid w:val="00AB7908"/>
    <w:rsid w:val="00AB7A38"/>
    <w:rsid w:val="00AB7F05"/>
    <w:rsid w:val="00AC0015"/>
    <w:rsid w:val="00AC0078"/>
    <w:rsid w:val="00AC0160"/>
    <w:rsid w:val="00AC01A4"/>
    <w:rsid w:val="00AC01DF"/>
    <w:rsid w:val="00AC02B2"/>
    <w:rsid w:val="00AC02DB"/>
    <w:rsid w:val="00AC0572"/>
    <w:rsid w:val="00AC0682"/>
    <w:rsid w:val="00AC0B28"/>
    <w:rsid w:val="00AC0C8C"/>
    <w:rsid w:val="00AC0CC6"/>
    <w:rsid w:val="00AC11B0"/>
    <w:rsid w:val="00AC1466"/>
    <w:rsid w:val="00AC1495"/>
    <w:rsid w:val="00AC1804"/>
    <w:rsid w:val="00AC193A"/>
    <w:rsid w:val="00AC199C"/>
    <w:rsid w:val="00AC1A72"/>
    <w:rsid w:val="00AC1D74"/>
    <w:rsid w:val="00AC1E0C"/>
    <w:rsid w:val="00AC1EDA"/>
    <w:rsid w:val="00AC2349"/>
    <w:rsid w:val="00AC2381"/>
    <w:rsid w:val="00AC2480"/>
    <w:rsid w:val="00AC24B1"/>
    <w:rsid w:val="00AC2502"/>
    <w:rsid w:val="00AC2BB3"/>
    <w:rsid w:val="00AC2D89"/>
    <w:rsid w:val="00AC2EC2"/>
    <w:rsid w:val="00AC30CB"/>
    <w:rsid w:val="00AC30F3"/>
    <w:rsid w:val="00AC3329"/>
    <w:rsid w:val="00AC3342"/>
    <w:rsid w:val="00AC3356"/>
    <w:rsid w:val="00AC33F9"/>
    <w:rsid w:val="00AC3408"/>
    <w:rsid w:val="00AC34A9"/>
    <w:rsid w:val="00AC3714"/>
    <w:rsid w:val="00AC3C8C"/>
    <w:rsid w:val="00AC3EF6"/>
    <w:rsid w:val="00AC3F36"/>
    <w:rsid w:val="00AC4064"/>
    <w:rsid w:val="00AC40D3"/>
    <w:rsid w:val="00AC41FF"/>
    <w:rsid w:val="00AC421B"/>
    <w:rsid w:val="00AC4290"/>
    <w:rsid w:val="00AC4295"/>
    <w:rsid w:val="00AC462A"/>
    <w:rsid w:val="00AC46AF"/>
    <w:rsid w:val="00AC4798"/>
    <w:rsid w:val="00AC4813"/>
    <w:rsid w:val="00AC4888"/>
    <w:rsid w:val="00AC48D4"/>
    <w:rsid w:val="00AC4993"/>
    <w:rsid w:val="00AC5202"/>
    <w:rsid w:val="00AC529F"/>
    <w:rsid w:val="00AC5380"/>
    <w:rsid w:val="00AC55F6"/>
    <w:rsid w:val="00AC5632"/>
    <w:rsid w:val="00AC597B"/>
    <w:rsid w:val="00AC5A0D"/>
    <w:rsid w:val="00AC5BFD"/>
    <w:rsid w:val="00AC5CCF"/>
    <w:rsid w:val="00AC5D69"/>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55"/>
    <w:rsid w:val="00AD024A"/>
    <w:rsid w:val="00AD0319"/>
    <w:rsid w:val="00AD032E"/>
    <w:rsid w:val="00AD03FA"/>
    <w:rsid w:val="00AD0577"/>
    <w:rsid w:val="00AD0733"/>
    <w:rsid w:val="00AD07F2"/>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A6A"/>
    <w:rsid w:val="00AD1AA9"/>
    <w:rsid w:val="00AD1B80"/>
    <w:rsid w:val="00AD1F7D"/>
    <w:rsid w:val="00AD1FF2"/>
    <w:rsid w:val="00AD222D"/>
    <w:rsid w:val="00AD2244"/>
    <w:rsid w:val="00AD238A"/>
    <w:rsid w:val="00AD2447"/>
    <w:rsid w:val="00AD249E"/>
    <w:rsid w:val="00AD27F6"/>
    <w:rsid w:val="00AD296D"/>
    <w:rsid w:val="00AD2B34"/>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2A7"/>
    <w:rsid w:val="00AD431F"/>
    <w:rsid w:val="00AD46A7"/>
    <w:rsid w:val="00AD47FB"/>
    <w:rsid w:val="00AD4937"/>
    <w:rsid w:val="00AD496A"/>
    <w:rsid w:val="00AD4A02"/>
    <w:rsid w:val="00AD4E10"/>
    <w:rsid w:val="00AD5336"/>
    <w:rsid w:val="00AD550E"/>
    <w:rsid w:val="00AD552F"/>
    <w:rsid w:val="00AD5546"/>
    <w:rsid w:val="00AD5573"/>
    <w:rsid w:val="00AD5774"/>
    <w:rsid w:val="00AD57B6"/>
    <w:rsid w:val="00AD594E"/>
    <w:rsid w:val="00AD5A2D"/>
    <w:rsid w:val="00AD5AA6"/>
    <w:rsid w:val="00AD5C76"/>
    <w:rsid w:val="00AD5CBE"/>
    <w:rsid w:val="00AD5E54"/>
    <w:rsid w:val="00AD5F9E"/>
    <w:rsid w:val="00AD627A"/>
    <w:rsid w:val="00AD6710"/>
    <w:rsid w:val="00AD6BB2"/>
    <w:rsid w:val="00AD6D37"/>
    <w:rsid w:val="00AD6EA0"/>
    <w:rsid w:val="00AD7254"/>
    <w:rsid w:val="00AD729B"/>
    <w:rsid w:val="00AD729E"/>
    <w:rsid w:val="00AD72CD"/>
    <w:rsid w:val="00AD7336"/>
    <w:rsid w:val="00AD74E2"/>
    <w:rsid w:val="00AD762C"/>
    <w:rsid w:val="00AD764A"/>
    <w:rsid w:val="00AD7D3B"/>
    <w:rsid w:val="00AD7D8F"/>
    <w:rsid w:val="00AE0039"/>
    <w:rsid w:val="00AE0051"/>
    <w:rsid w:val="00AE00AF"/>
    <w:rsid w:val="00AE00F0"/>
    <w:rsid w:val="00AE0148"/>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F01"/>
    <w:rsid w:val="00AE1F92"/>
    <w:rsid w:val="00AE2102"/>
    <w:rsid w:val="00AE215B"/>
    <w:rsid w:val="00AE24A4"/>
    <w:rsid w:val="00AE24D8"/>
    <w:rsid w:val="00AE252D"/>
    <w:rsid w:val="00AE2685"/>
    <w:rsid w:val="00AE26A3"/>
    <w:rsid w:val="00AE2771"/>
    <w:rsid w:val="00AE3059"/>
    <w:rsid w:val="00AE3096"/>
    <w:rsid w:val="00AE3206"/>
    <w:rsid w:val="00AE32A2"/>
    <w:rsid w:val="00AE3377"/>
    <w:rsid w:val="00AE33F1"/>
    <w:rsid w:val="00AE340F"/>
    <w:rsid w:val="00AE344C"/>
    <w:rsid w:val="00AE3485"/>
    <w:rsid w:val="00AE35F3"/>
    <w:rsid w:val="00AE3678"/>
    <w:rsid w:val="00AE3702"/>
    <w:rsid w:val="00AE3A0E"/>
    <w:rsid w:val="00AE3A55"/>
    <w:rsid w:val="00AE3C69"/>
    <w:rsid w:val="00AE3D53"/>
    <w:rsid w:val="00AE3D79"/>
    <w:rsid w:val="00AE3DEC"/>
    <w:rsid w:val="00AE3DF2"/>
    <w:rsid w:val="00AE3E04"/>
    <w:rsid w:val="00AE3ED1"/>
    <w:rsid w:val="00AE3F32"/>
    <w:rsid w:val="00AE40FC"/>
    <w:rsid w:val="00AE41A7"/>
    <w:rsid w:val="00AE4210"/>
    <w:rsid w:val="00AE45B1"/>
    <w:rsid w:val="00AE49A5"/>
    <w:rsid w:val="00AE4A77"/>
    <w:rsid w:val="00AE4B45"/>
    <w:rsid w:val="00AE4B86"/>
    <w:rsid w:val="00AE4C59"/>
    <w:rsid w:val="00AE5176"/>
    <w:rsid w:val="00AE55EF"/>
    <w:rsid w:val="00AE561C"/>
    <w:rsid w:val="00AE56B7"/>
    <w:rsid w:val="00AE5793"/>
    <w:rsid w:val="00AE5C80"/>
    <w:rsid w:val="00AE5F34"/>
    <w:rsid w:val="00AE5FA7"/>
    <w:rsid w:val="00AE6018"/>
    <w:rsid w:val="00AE60AF"/>
    <w:rsid w:val="00AE61B5"/>
    <w:rsid w:val="00AE6265"/>
    <w:rsid w:val="00AE6524"/>
    <w:rsid w:val="00AE67BF"/>
    <w:rsid w:val="00AE6A03"/>
    <w:rsid w:val="00AE6C62"/>
    <w:rsid w:val="00AE6C7B"/>
    <w:rsid w:val="00AE6D14"/>
    <w:rsid w:val="00AE6F32"/>
    <w:rsid w:val="00AE7130"/>
    <w:rsid w:val="00AE7802"/>
    <w:rsid w:val="00AE7A5F"/>
    <w:rsid w:val="00AE7B13"/>
    <w:rsid w:val="00AE7B20"/>
    <w:rsid w:val="00AE7B7E"/>
    <w:rsid w:val="00AE7D69"/>
    <w:rsid w:val="00AE7DA6"/>
    <w:rsid w:val="00AE7DBE"/>
    <w:rsid w:val="00AE7E44"/>
    <w:rsid w:val="00AE7E51"/>
    <w:rsid w:val="00AE7ECE"/>
    <w:rsid w:val="00AE7FD7"/>
    <w:rsid w:val="00AE7FFC"/>
    <w:rsid w:val="00AF000C"/>
    <w:rsid w:val="00AF00E2"/>
    <w:rsid w:val="00AF0268"/>
    <w:rsid w:val="00AF0453"/>
    <w:rsid w:val="00AF050B"/>
    <w:rsid w:val="00AF05C3"/>
    <w:rsid w:val="00AF05D1"/>
    <w:rsid w:val="00AF0D73"/>
    <w:rsid w:val="00AF0DD7"/>
    <w:rsid w:val="00AF0EB9"/>
    <w:rsid w:val="00AF0F15"/>
    <w:rsid w:val="00AF0F16"/>
    <w:rsid w:val="00AF128C"/>
    <w:rsid w:val="00AF13A1"/>
    <w:rsid w:val="00AF17DF"/>
    <w:rsid w:val="00AF181D"/>
    <w:rsid w:val="00AF1885"/>
    <w:rsid w:val="00AF1968"/>
    <w:rsid w:val="00AF19DF"/>
    <w:rsid w:val="00AF1B25"/>
    <w:rsid w:val="00AF1B73"/>
    <w:rsid w:val="00AF1ED8"/>
    <w:rsid w:val="00AF1EEC"/>
    <w:rsid w:val="00AF2198"/>
    <w:rsid w:val="00AF27A5"/>
    <w:rsid w:val="00AF27DE"/>
    <w:rsid w:val="00AF288B"/>
    <w:rsid w:val="00AF2A84"/>
    <w:rsid w:val="00AF2C9D"/>
    <w:rsid w:val="00AF2DAE"/>
    <w:rsid w:val="00AF30E2"/>
    <w:rsid w:val="00AF3167"/>
    <w:rsid w:val="00AF3367"/>
    <w:rsid w:val="00AF3543"/>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F7"/>
    <w:rsid w:val="00AF4DB9"/>
    <w:rsid w:val="00AF4E03"/>
    <w:rsid w:val="00AF4E22"/>
    <w:rsid w:val="00AF514B"/>
    <w:rsid w:val="00AF51D5"/>
    <w:rsid w:val="00AF52FB"/>
    <w:rsid w:val="00AF560A"/>
    <w:rsid w:val="00AF57DD"/>
    <w:rsid w:val="00AF59C4"/>
    <w:rsid w:val="00AF5AD2"/>
    <w:rsid w:val="00AF5E36"/>
    <w:rsid w:val="00AF6184"/>
    <w:rsid w:val="00AF6356"/>
    <w:rsid w:val="00AF63A2"/>
    <w:rsid w:val="00AF63BB"/>
    <w:rsid w:val="00AF6463"/>
    <w:rsid w:val="00AF6796"/>
    <w:rsid w:val="00AF71B8"/>
    <w:rsid w:val="00AF742A"/>
    <w:rsid w:val="00AF7689"/>
    <w:rsid w:val="00AF76DB"/>
    <w:rsid w:val="00AF7869"/>
    <w:rsid w:val="00AF7A84"/>
    <w:rsid w:val="00AF7A98"/>
    <w:rsid w:val="00AF7CB8"/>
    <w:rsid w:val="00AF7D84"/>
    <w:rsid w:val="00AF7EB9"/>
    <w:rsid w:val="00AF7F02"/>
    <w:rsid w:val="00AF7F2E"/>
    <w:rsid w:val="00B00311"/>
    <w:rsid w:val="00B0035D"/>
    <w:rsid w:val="00B003BB"/>
    <w:rsid w:val="00B00496"/>
    <w:rsid w:val="00B00574"/>
    <w:rsid w:val="00B00730"/>
    <w:rsid w:val="00B00AAA"/>
    <w:rsid w:val="00B0108B"/>
    <w:rsid w:val="00B011E9"/>
    <w:rsid w:val="00B01282"/>
    <w:rsid w:val="00B01287"/>
    <w:rsid w:val="00B0155B"/>
    <w:rsid w:val="00B01630"/>
    <w:rsid w:val="00B0165F"/>
    <w:rsid w:val="00B01838"/>
    <w:rsid w:val="00B01A14"/>
    <w:rsid w:val="00B01A25"/>
    <w:rsid w:val="00B01C07"/>
    <w:rsid w:val="00B01C4D"/>
    <w:rsid w:val="00B01CDE"/>
    <w:rsid w:val="00B01D69"/>
    <w:rsid w:val="00B01DC9"/>
    <w:rsid w:val="00B02127"/>
    <w:rsid w:val="00B02139"/>
    <w:rsid w:val="00B0217B"/>
    <w:rsid w:val="00B021EF"/>
    <w:rsid w:val="00B02614"/>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4026"/>
    <w:rsid w:val="00B040A8"/>
    <w:rsid w:val="00B0412B"/>
    <w:rsid w:val="00B043A6"/>
    <w:rsid w:val="00B047CE"/>
    <w:rsid w:val="00B049AF"/>
    <w:rsid w:val="00B04B0F"/>
    <w:rsid w:val="00B04BD8"/>
    <w:rsid w:val="00B04BD9"/>
    <w:rsid w:val="00B0526B"/>
    <w:rsid w:val="00B05341"/>
    <w:rsid w:val="00B05513"/>
    <w:rsid w:val="00B0558D"/>
    <w:rsid w:val="00B0567D"/>
    <w:rsid w:val="00B05992"/>
    <w:rsid w:val="00B05A2C"/>
    <w:rsid w:val="00B05F39"/>
    <w:rsid w:val="00B06025"/>
    <w:rsid w:val="00B060E3"/>
    <w:rsid w:val="00B065DD"/>
    <w:rsid w:val="00B065F3"/>
    <w:rsid w:val="00B06774"/>
    <w:rsid w:val="00B0681E"/>
    <w:rsid w:val="00B06BC9"/>
    <w:rsid w:val="00B06C06"/>
    <w:rsid w:val="00B06C86"/>
    <w:rsid w:val="00B06DED"/>
    <w:rsid w:val="00B06DEE"/>
    <w:rsid w:val="00B06F1F"/>
    <w:rsid w:val="00B06F31"/>
    <w:rsid w:val="00B07309"/>
    <w:rsid w:val="00B0744F"/>
    <w:rsid w:val="00B07497"/>
    <w:rsid w:val="00B07504"/>
    <w:rsid w:val="00B0754C"/>
    <w:rsid w:val="00B0774D"/>
    <w:rsid w:val="00B07875"/>
    <w:rsid w:val="00B07B46"/>
    <w:rsid w:val="00B07D21"/>
    <w:rsid w:val="00B07EBC"/>
    <w:rsid w:val="00B07F88"/>
    <w:rsid w:val="00B07FFA"/>
    <w:rsid w:val="00B07FFE"/>
    <w:rsid w:val="00B10001"/>
    <w:rsid w:val="00B1002C"/>
    <w:rsid w:val="00B1021D"/>
    <w:rsid w:val="00B10341"/>
    <w:rsid w:val="00B107C2"/>
    <w:rsid w:val="00B108E3"/>
    <w:rsid w:val="00B10CA9"/>
    <w:rsid w:val="00B11051"/>
    <w:rsid w:val="00B1135B"/>
    <w:rsid w:val="00B11561"/>
    <w:rsid w:val="00B118D0"/>
    <w:rsid w:val="00B11907"/>
    <w:rsid w:val="00B11971"/>
    <w:rsid w:val="00B11AAF"/>
    <w:rsid w:val="00B11CCB"/>
    <w:rsid w:val="00B11DD0"/>
    <w:rsid w:val="00B126EF"/>
    <w:rsid w:val="00B127BA"/>
    <w:rsid w:val="00B12885"/>
    <w:rsid w:val="00B129A6"/>
    <w:rsid w:val="00B12EAD"/>
    <w:rsid w:val="00B12F63"/>
    <w:rsid w:val="00B13035"/>
    <w:rsid w:val="00B13257"/>
    <w:rsid w:val="00B1347B"/>
    <w:rsid w:val="00B134CD"/>
    <w:rsid w:val="00B137DE"/>
    <w:rsid w:val="00B137F4"/>
    <w:rsid w:val="00B1381E"/>
    <w:rsid w:val="00B13824"/>
    <w:rsid w:val="00B13A5C"/>
    <w:rsid w:val="00B13B49"/>
    <w:rsid w:val="00B13C3F"/>
    <w:rsid w:val="00B13C59"/>
    <w:rsid w:val="00B13ED2"/>
    <w:rsid w:val="00B13F50"/>
    <w:rsid w:val="00B1405A"/>
    <w:rsid w:val="00B141C7"/>
    <w:rsid w:val="00B1467A"/>
    <w:rsid w:val="00B14760"/>
    <w:rsid w:val="00B14E0C"/>
    <w:rsid w:val="00B152F8"/>
    <w:rsid w:val="00B153C4"/>
    <w:rsid w:val="00B154C4"/>
    <w:rsid w:val="00B155D3"/>
    <w:rsid w:val="00B157DC"/>
    <w:rsid w:val="00B15933"/>
    <w:rsid w:val="00B159AE"/>
    <w:rsid w:val="00B159DC"/>
    <w:rsid w:val="00B15ACD"/>
    <w:rsid w:val="00B15B35"/>
    <w:rsid w:val="00B15D09"/>
    <w:rsid w:val="00B15D5D"/>
    <w:rsid w:val="00B15EEB"/>
    <w:rsid w:val="00B160D5"/>
    <w:rsid w:val="00B160DD"/>
    <w:rsid w:val="00B161BD"/>
    <w:rsid w:val="00B1639B"/>
    <w:rsid w:val="00B1651B"/>
    <w:rsid w:val="00B1678D"/>
    <w:rsid w:val="00B16823"/>
    <w:rsid w:val="00B16BC8"/>
    <w:rsid w:val="00B16D51"/>
    <w:rsid w:val="00B16ED0"/>
    <w:rsid w:val="00B1708D"/>
    <w:rsid w:val="00B17195"/>
    <w:rsid w:val="00B17375"/>
    <w:rsid w:val="00B17571"/>
    <w:rsid w:val="00B17716"/>
    <w:rsid w:val="00B178B6"/>
    <w:rsid w:val="00B179E6"/>
    <w:rsid w:val="00B17B06"/>
    <w:rsid w:val="00B17B55"/>
    <w:rsid w:val="00B17BA2"/>
    <w:rsid w:val="00B17CBB"/>
    <w:rsid w:val="00B17FD9"/>
    <w:rsid w:val="00B20103"/>
    <w:rsid w:val="00B201BD"/>
    <w:rsid w:val="00B2066F"/>
    <w:rsid w:val="00B20675"/>
    <w:rsid w:val="00B20705"/>
    <w:rsid w:val="00B20982"/>
    <w:rsid w:val="00B20ABA"/>
    <w:rsid w:val="00B20ACB"/>
    <w:rsid w:val="00B20BF3"/>
    <w:rsid w:val="00B20F29"/>
    <w:rsid w:val="00B21237"/>
    <w:rsid w:val="00B21493"/>
    <w:rsid w:val="00B21498"/>
    <w:rsid w:val="00B2164E"/>
    <w:rsid w:val="00B21849"/>
    <w:rsid w:val="00B218AE"/>
    <w:rsid w:val="00B2192D"/>
    <w:rsid w:val="00B2196A"/>
    <w:rsid w:val="00B21B0E"/>
    <w:rsid w:val="00B21CCC"/>
    <w:rsid w:val="00B21CE6"/>
    <w:rsid w:val="00B21DAA"/>
    <w:rsid w:val="00B21E62"/>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483"/>
    <w:rsid w:val="00B235B6"/>
    <w:rsid w:val="00B23738"/>
    <w:rsid w:val="00B238D2"/>
    <w:rsid w:val="00B239C9"/>
    <w:rsid w:val="00B23A31"/>
    <w:rsid w:val="00B23AB6"/>
    <w:rsid w:val="00B23BFC"/>
    <w:rsid w:val="00B23CBE"/>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6002"/>
    <w:rsid w:val="00B26031"/>
    <w:rsid w:val="00B26078"/>
    <w:rsid w:val="00B260E6"/>
    <w:rsid w:val="00B26172"/>
    <w:rsid w:val="00B261B1"/>
    <w:rsid w:val="00B26632"/>
    <w:rsid w:val="00B26A5F"/>
    <w:rsid w:val="00B26A69"/>
    <w:rsid w:val="00B26AA2"/>
    <w:rsid w:val="00B26B8E"/>
    <w:rsid w:val="00B26C25"/>
    <w:rsid w:val="00B26CB8"/>
    <w:rsid w:val="00B26CE2"/>
    <w:rsid w:val="00B26D2F"/>
    <w:rsid w:val="00B26DCF"/>
    <w:rsid w:val="00B26FC0"/>
    <w:rsid w:val="00B270D4"/>
    <w:rsid w:val="00B27413"/>
    <w:rsid w:val="00B27426"/>
    <w:rsid w:val="00B274CB"/>
    <w:rsid w:val="00B2786A"/>
    <w:rsid w:val="00B278C9"/>
    <w:rsid w:val="00B27924"/>
    <w:rsid w:val="00B27AC5"/>
    <w:rsid w:val="00B27F25"/>
    <w:rsid w:val="00B27FEC"/>
    <w:rsid w:val="00B30120"/>
    <w:rsid w:val="00B3032A"/>
    <w:rsid w:val="00B304E9"/>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4D0"/>
    <w:rsid w:val="00B3253D"/>
    <w:rsid w:val="00B325BD"/>
    <w:rsid w:val="00B32627"/>
    <w:rsid w:val="00B3291D"/>
    <w:rsid w:val="00B32A68"/>
    <w:rsid w:val="00B32E9C"/>
    <w:rsid w:val="00B331C9"/>
    <w:rsid w:val="00B33360"/>
    <w:rsid w:val="00B33484"/>
    <w:rsid w:val="00B335DE"/>
    <w:rsid w:val="00B3366F"/>
    <w:rsid w:val="00B336A7"/>
    <w:rsid w:val="00B336B0"/>
    <w:rsid w:val="00B33708"/>
    <w:rsid w:val="00B33745"/>
    <w:rsid w:val="00B33919"/>
    <w:rsid w:val="00B33DA0"/>
    <w:rsid w:val="00B3418D"/>
    <w:rsid w:val="00B341B8"/>
    <w:rsid w:val="00B342CF"/>
    <w:rsid w:val="00B3443D"/>
    <w:rsid w:val="00B34701"/>
    <w:rsid w:val="00B34804"/>
    <w:rsid w:val="00B3495C"/>
    <w:rsid w:val="00B34BFC"/>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9A4"/>
    <w:rsid w:val="00B37BAC"/>
    <w:rsid w:val="00B37C1F"/>
    <w:rsid w:val="00B37C91"/>
    <w:rsid w:val="00B37E06"/>
    <w:rsid w:val="00B37EA1"/>
    <w:rsid w:val="00B37F0E"/>
    <w:rsid w:val="00B400D6"/>
    <w:rsid w:val="00B40222"/>
    <w:rsid w:val="00B402AC"/>
    <w:rsid w:val="00B402EA"/>
    <w:rsid w:val="00B403FD"/>
    <w:rsid w:val="00B406BF"/>
    <w:rsid w:val="00B406FA"/>
    <w:rsid w:val="00B40859"/>
    <w:rsid w:val="00B409C6"/>
    <w:rsid w:val="00B409FB"/>
    <w:rsid w:val="00B40AE0"/>
    <w:rsid w:val="00B40EA9"/>
    <w:rsid w:val="00B41504"/>
    <w:rsid w:val="00B41540"/>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29E8"/>
    <w:rsid w:val="00B42C90"/>
    <w:rsid w:val="00B430A8"/>
    <w:rsid w:val="00B431F9"/>
    <w:rsid w:val="00B43268"/>
    <w:rsid w:val="00B4331F"/>
    <w:rsid w:val="00B43423"/>
    <w:rsid w:val="00B435BC"/>
    <w:rsid w:val="00B435D5"/>
    <w:rsid w:val="00B435F2"/>
    <w:rsid w:val="00B436B5"/>
    <w:rsid w:val="00B4372B"/>
    <w:rsid w:val="00B43A35"/>
    <w:rsid w:val="00B43CB7"/>
    <w:rsid w:val="00B43FD6"/>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1E1"/>
    <w:rsid w:val="00B453B0"/>
    <w:rsid w:val="00B4542D"/>
    <w:rsid w:val="00B454B9"/>
    <w:rsid w:val="00B45500"/>
    <w:rsid w:val="00B45532"/>
    <w:rsid w:val="00B455FF"/>
    <w:rsid w:val="00B4576E"/>
    <w:rsid w:val="00B4577A"/>
    <w:rsid w:val="00B45A03"/>
    <w:rsid w:val="00B45CF6"/>
    <w:rsid w:val="00B45D70"/>
    <w:rsid w:val="00B45F81"/>
    <w:rsid w:val="00B4614D"/>
    <w:rsid w:val="00B46324"/>
    <w:rsid w:val="00B463BE"/>
    <w:rsid w:val="00B464A3"/>
    <w:rsid w:val="00B464E7"/>
    <w:rsid w:val="00B465A9"/>
    <w:rsid w:val="00B4679C"/>
    <w:rsid w:val="00B467F7"/>
    <w:rsid w:val="00B469EB"/>
    <w:rsid w:val="00B46B68"/>
    <w:rsid w:val="00B46B77"/>
    <w:rsid w:val="00B46CAA"/>
    <w:rsid w:val="00B46DAF"/>
    <w:rsid w:val="00B46E36"/>
    <w:rsid w:val="00B46F36"/>
    <w:rsid w:val="00B46F71"/>
    <w:rsid w:val="00B4719F"/>
    <w:rsid w:val="00B471E1"/>
    <w:rsid w:val="00B472BE"/>
    <w:rsid w:val="00B472D4"/>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C52"/>
    <w:rsid w:val="00B50CC5"/>
    <w:rsid w:val="00B50DD2"/>
    <w:rsid w:val="00B50E45"/>
    <w:rsid w:val="00B50FA6"/>
    <w:rsid w:val="00B510E3"/>
    <w:rsid w:val="00B51164"/>
    <w:rsid w:val="00B51407"/>
    <w:rsid w:val="00B5149A"/>
    <w:rsid w:val="00B514CE"/>
    <w:rsid w:val="00B51705"/>
    <w:rsid w:val="00B5195E"/>
    <w:rsid w:val="00B51C50"/>
    <w:rsid w:val="00B51EE2"/>
    <w:rsid w:val="00B51F38"/>
    <w:rsid w:val="00B52661"/>
    <w:rsid w:val="00B526D5"/>
    <w:rsid w:val="00B52728"/>
    <w:rsid w:val="00B52803"/>
    <w:rsid w:val="00B52817"/>
    <w:rsid w:val="00B52982"/>
    <w:rsid w:val="00B52ABC"/>
    <w:rsid w:val="00B52AF5"/>
    <w:rsid w:val="00B52C7E"/>
    <w:rsid w:val="00B52EAF"/>
    <w:rsid w:val="00B530AE"/>
    <w:rsid w:val="00B531A1"/>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3C4"/>
    <w:rsid w:val="00B55A82"/>
    <w:rsid w:val="00B55BEA"/>
    <w:rsid w:val="00B55D36"/>
    <w:rsid w:val="00B55D92"/>
    <w:rsid w:val="00B55E5A"/>
    <w:rsid w:val="00B55ED7"/>
    <w:rsid w:val="00B55FAC"/>
    <w:rsid w:val="00B56312"/>
    <w:rsid w:val="00B56471"/>
    <w:rsid w:val="00B56641"/>
    <w:rsid w:val="00B56B0A"/>
    <w:rsid w:val="00B56C38"/>
    <w:rsid w:val="00B56FAF"/>
    <w:rsid w:val="00B570A3"/>
    <w:rsid w:val="00B57681"/>
    <w:rsid w:val="00B577B6"/>
    <w:rsid w:val="00B57874"/>
    <w:rsid w:val="00B57895"/>
    <w:rsid w:val="00B57A99"/>
    <w:rsid w:val="00B57C59"/>
    <w:rsid w:val="00B57CBD"/>
    <w:rsid w:val="00B57FF4"/>
    <w:rsid w:val="00B6043F"/>
    <w:rsid w:val="00B605F8"/>
    <w:rsid w:val="00B606F1"/>
    <w:rsid w:val="00B606FF"/>
    <w:rsid w:val="00B607F7"/>
    <w:rsid w:val="00B60AC9"/>
    <w:rsid w:val="00B60D38"/>
    <w:rsid w:val="00B60DFB"/>
    <w:rsid w:val="00B6137C"/>
    <w:rsid w:val="00B614AA"/>
    <w:rsid w:val="00B614CF"/>
    <w:rsid w:val="00B61580"/>
    <w:rsid w:val="00B61645"/>
    <w:rsid w:val="00B61756"/>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70E"/>
    <w:rsid w:val="00B6296B"/>
    <w:rsid w:val="00B62FCA"/>
    <w:rsid w:val="00B631EA"/>
    <w:rsid w:val="00B632AA"/>
    <w:rsid w:val="00B632B6"/>
    <w:rsid w:val="00B6333A"/>
    <w:rsid w:val="00B6335C"/>
    <w:rsid w:val="00B634BE"/>
    <w:rsid w:val="00B634F2"/>
    <w:rsid w:val="00B6352B"/>
    <w:rsid w:val="00B63565"/>
    <w:rsid w:val="00B63640"/>
    <w:rsid w:val="00B63642"/>
    <w:rsid w:val="00B637E6"/>
    <w:rsid w:val="00B638B1"/>
    <w:rsid w:val="00B638B9"/>
    <w:rsid w:val="00B639AD"/>
    <w:rsid w:val="00B63BB5"/>
    <w:rsid w:val="00B63FEF"/>
    <w:rsid w:val="00B64181"/>
    <w:rsid w:val="00B642F9"/>
    <w:rsid w:val="00B64465"/>
    <w:rsid w:val="00B648A1"/>
    <w:rsid w:val="00B648EC"/>
    <w:rsid w:val="00B64977"/>
    <w:rsid w:val="00B649D2"/>
    <w:rsid w:val="00B64B97"/>
    <w:rsid w:val="00B64D89"/>
    <w:rsid w:val="00B64DBC"/>
    <w:rsid w:val="00B64E8C"/>
    <w:rsid w:val="00B650F4"/>
    <w:rsid w:val="00B6535B"/>
    <w:rsid w:val="00B6536A"/>
    <w:rsid w:val="00B65378"/>
    <w:rsid w:val="00B6538E"/>
    <w:rsid w:val="00B655CA"/>
    <w:rsid w:val="00B657B6"/>
    <w:rsid w:val="00B6580C"/>
    <w:rsid w:val="00B658E2"/>
    <w:rsid w:val="00B659FF"/>
    <w:rsid w:val="00B65ABB"/>
    <w:rsid w:val="00B65BC9"/>
    <w:rsid w:val="00B65DC9"/>
    <w:rsid w:val="00B66041"/>
    <w:rsid w:val="00B66112"/>
    <w:rsid w:val="00B666C7"/>
    <w:rsid w:val="00B66769"/>
    <w:rsid w:val="00B667A5"/>
    <w:rsid w:val="00B66D46"/>
    <w:rsid w:val="00B66F55"/>
    <w:rsid w:val="00B67009"/>
    <w:rsid w:val="00B67110"/>
    <w:rsid w:val="00B6711B"/>
    <w:rsid w:val="00B671A0"/>
    <w:rsid w:val="00B6725C"/>
    <w:rsid w:val="00B6728A"/>
    <w:rsid w:val="00B67535"/>
    <w:rsid w:val="00B67678"/>
    <w:rsid w:val="00B6769E"/>
    <w:rsid w:val="00B6789C"/>
    <w:rsid w:val="00B67ABA"/>
    <w:rsid w:val="00B67CA6"/>
    <w:rsid w:val="00B67D20"/>
    <w:rsid w:val="00B67E69"/>
    <w:rsid w:val="00B67F79"/>
    <w:rsid w:val="00B67FEB"/>
    <w:rsid w:val="00B7006B"/>
    <w:rsid w:val="00B70297"/>
    <w:rsid w:val="00B703B7"/>
    <w:rsid w:val="00B704A6"/>
    <w:rsid w:val="00B70616"/>
    <w:rsid w:val="00B70852"/>
    <w:rsid w:val="00B7089A"/>
    <w:rsid w:val="00B708CA"/>
    <w:rsid w:val="00B70AFF"/>
    <w:rsid w:val="00B70C72"/>
    <w:rsid w:val="00B70E1D"/>
    <w:rsid w:val="00B70F46"/>
    <w:rsid w:val="00B710D5"/>
    <w:rsid w:val="00B71196"/>
    <w:rsid w:val="00B712E9"/>
    <w:rsid w:val="00B71990"/>
    <w:rsid w:val="00B71B1D"/>
    <w:rsid w:val="00B71FCD"/>
    <w:rsid w:val="00B72076"/>
    <w:rsid w:val="00B72096"/>
    <w:rsid w:val="00B721E5"/>
    <w:rsid w:val="00B722DE"/>
    <w:rsid w:val="00B722EE"/>
    <w:rsid w:val="00B7250A"/>
    <w:rsid w:val="00B7253D"/>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379"/>
    <w:rsid w:val="00B744E7"/>
    <w:rsid w:val="00B7468B"/>
    <w:rsid w:val="00B748C2"/>
    <w:rsid w:val="00B748FB"/>
    <w:rsid w:val="00B74BCD"/>
    <w:rsid w:val="00B75007"/>
    <w:rsid w:val="00B75349"/>
    <w:rsid w:val="00B755ED"/>
    <w:rsid w:val="00B755F1"/>
    <w:rsid w:val="00B75671"/>
    <w:rsid w:val="00B7568C"/>
    <w:rsid w:val="00B75705"/>
    <w:rsid w:val="00B75997"/>
    <w:rsid w:val="00B75A2A"/>
    <w:rsid w:val="00B75B0B"/>
    <w:rsid w:val="00B75B4D"/>
    <w:rsid w:val="00B75D4D"/>
    <w:rsid w:val="00B75E9F"/>
    <w:rsid w:val="00B75EB2"/>
    <w:rsid w:val="00B75F19"/>
    <w:rsid w:val="00B75F73"/>
    <w:rsid w:val="00B761FF"/>
    <w:rsid w:val="00B7675D"/>
    <w:rsid w:val="00B76992"/>
    <w:rsid w:val="00B76A31"/>
    <w:rsid w:val="00B76A62"/>
    <w:rsid w:val="00B76B5C"/>
    <w:rsid w:val="00B76BAA"/>
    <w:rsid w:val="00B76C3B"/>
    <w:rsid w:val="00B76D95"/>
    <w:rsid w:val="00B77100"/>
    <w:rsid w:val="00B7713E"/>
    <w:rsid w:val="00B7718A"/>
    <w:rsid w:val="00B772B2"/>
    <w:rsid w:val="00B7733B"/>
    <w:rsid w:val="00B77514"/>
    <w:rsid w:val="00B7758E"/>
    <w:rsid w:val="00B77B20"/>
    <w:rsid w:val="00B77BB5"/>
    <w:rsid w:val="00B77D99"/>
    <w:rsid w:val="00B77EE3"/>
    <w:rsid w:val="00B77F29"/>
    <w:rsid w:val="00B801AF"/>
    <w:rsid w:val="00B802BC"/>
    <w:rsid w:val="00B8047B"/>
    <w:rsid w:val="00B808A3"/>
    <w:rsid w:val="00B80A11"/>
    <w:rsid w:val="00B80CFA"/>
    <w:rsid w:val="00B80EC4"/>
    <w:rsid w:val="00B80FC0"/>
    <w:rsid w:val="00B810C3"/>
    <w:rsid w:val="00B810FB"/>
    <w:rsid w:val="00B812AE"/>
    <w:rsid w:val="00B81334"/>
    <w:rsid w:val="00B8143E"/>
    <w:rsid w:val="00B8184E"/>
    <w:rsid w:val="00B8199D"/>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4D"/>
    <w:rsid w:val="00B83378"/>
    <w:rsid w:val="00B8340F"/>
    <w:rsid w:val="00B836CF"/>
    <w:rsid w:val="00B839DD"/>
    <w:rsid w:val="00B83B66"/>
    <w:rsid w:val="00B83C2C"/>
    <w:rsid w:val="00B83E1E"/>
    <w:rsid w:val="00B8413E"/>
    <w:rsid w:val="00B8419D"/>
    <w:rsid w:val="00B84201"/>
    <w:rsid w:val="00B845E5"/>
    <w:rsid w:val="00B848F2"/>
    <w:rsid w:val="00B849F1"/>
    <w:rsid w:val="00B849FB"/>
    <w:rsid w:val="00B84A27"/>
    <w:rsid w:val="00B84A31"/>
    <w:rsid w:val="00B84B72"/>
    <w:rsid w:val="00B84BF8"/>
    <w:rsid w:val="00B84C29"/>
    <w:rsid w:val="00B84CF3"/>
    <w:rsid w:val="00B84FC0"/>
    <w:rsid w:val="00B851F7"/>
    <w:rsid w:val="00B85341"/>
    <w:rsid w:val="00B85443"/>
    <w:rsid w:val="00B855F0"/>
    <w:rsid w:val="00B8560C"/>
    <w:rsid w:val="00B85A6D"/>
    <w:rsid w:val="00B85A9E"/>
    <w:rsid w:val="00B85C24"/>
    <w:rsid w:val="00B85DE4"/>
    <w:rsid w:val="00B85F8F"/>
    <w:rsid w:val="00B86012"/>
    <w:rsid w:val="00B86026"/>
    <w:rsid w:val="00B86059"/>
    <w:rsid w:val="00B8613D"/>
    <w:rsid w:val="00B8640F"/>
    <w:rsid w:val="00B86624"/>
    <w:rsid w:val="00B86A8D"/>
    <w:rsid w:val="00B86F7E"/>
    <w:rsid w:val="00B871A7"/>
    <w:rsid w:val="00B872E2"/>
    <w:rsid w:val="00B87391"/>
    <w:rsid w:val="00B87603"/>
    <w:rsid w:val="00B876AC"/>
    <w:rsid w:val="00B876ED"/>
    <w:rsid w:val="00B87949"/>
    <w:rsid w:val="00B87A05"/>
    <w:rsid w:val="00B87B58"/>
    <w:rsid w:val="00B87C1D"/>
    <w:rsid w:val="00B87E30"/>
    <w:rsid w:val="00B87F94"/>
    <w:rsid w:val="00B9001E"/>
    <w:rsid w:val="00B900D3"/>
    <w:rsid w:val="00B90188"/>
    <w:rsid w:val="00B9022A"/>
    <w:rsid w:val="00B9044A"/>
    <w:rsid w:val="00B904CC"/>
    <w:rsid w:val="00B905E7"/>
    <w:rsid w:val="00B906D6"/>
    <w:rsid w:val="00B90856"/>
    <w:rsid w:val="00B90A3C"/>
    <w:rsid w:val="00B90D38"/>
    <w:rsid w:val="00B911A6"/>
    <w:rsid w:val="00B91252"/>
    <w:rsid w:val="00B912D9"/>
    <w:rsid w:val="00B913E8"/>
    <w:rsid w:val="00B913FC"/>
    <w:rsid w:val="00B91626"/>
    <w:rsid w:val="00B9195B"/>
    <w:rsid w:val="00B91AFB"/>
    <w:rsid w:val="00B91B1F"/>
    <w:rsid w:val="00B91EDA"/>
    <w:rsid w:val="00B921A7"/>
    <w:rsid w:val="00B924ED"/>
    <w:rsid w:val="00B9254B"/>
    <w:rsid w:val="00B9259F"/>
    <w:rsid w:val="00B926EA"/>
    <w:rsid w:val="00B92741"/>
    <w:rsid w:val="00B92745"/>
    <w:rsid w:val="00B929A3"/>
    <w:rsid w:val="00B92A3D"/>
    <w:rsid w:val="00B92B86"/>
    <w:rsid w:val="00B92D1E"/>
    <w:rsid w:val="00B92D96"/>
    <w:rsid w:val="00B92DC9"/>
    <w:rsid w:val="00B92DE5"/>
    <w:rsid w:val="00B931FB"/>
    <w:rsid w:val="00B93377"/>
    <w:rsid w:val="00B93413"/>
    <w:rsid w:val="00B93484"/>
    <w:rsid w:val="00B93569"/>
    <w:rsid w:val="00B935BD"/>
    <w:rsid w:val="00B936D6"/>
    <w:rsid w:val="00B938B7"/>
    <w:rsid w:val="00B93966"/>
    <w:rsid w:val="00B93A7A"/>
    <w:rsid w:val="00B93CAB"/>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AC"/>
    <w:rsid w:val="00B95763"/>
    <w:rsid w:val="00B957BF"/>
    <w:rsid w:val="00B95C53"/>
    <w:rsid w:val="00B95E67"/>
    <w:rsid w:val="00B96266"/>
    <w:rsid w:val="00B96503"/>
    <w:rsid w:val="00B965A1"/>
    <w:rsid w:val="00B96798"/>
    <w:rsid w:val="00B9679E"/>
    <w:rsid w:val="00B9688F"/>
    <w:rsid w:val="00B96B48"/>
    <w:rsid w:val="00B97119"/>
    <w:rsid w:val="00B97195"/>
    <w:rsid w:val="00B9727E"/>
    <w:rsid w:val="00B9743E"/>
    <w:rsid w:val="00B97709"/>
    <w:rsid w:val="00B97777"/>
    <w:rsid w:val="00B9789D"/>
    <w:rsid w:val="00B979B2"/>
    <w:rsid w:val="00B97AD3"/>
    <w:rsid w:val="00B97AF6"/>
    <w:rsid w:val="00B97C1B"/>
    <w:rsid w:val="00B97E74"/>
    <w:rsid w:val="00B97EE2"/>
    <w:rsid w:val="00B97F18"/>
    <w:rsid w:val="00B97F2D"/>
    <w:rsid w:val="00B97FBA"/>
    <w:rsid w:val="00BA0077"/>
    <w:rsid w:val="00BA008B"/>
    <w:rsid w:val="00BA00F5"/>
    <w:rsid w:val="00BA04FD"/>
    <w:rsid w:val="00BA06ED"/>
    <w:rsid w:val="00BA0789"/>
    <w:rsid w:val="00BA0861"/>
    <w:rsid w:val="00BA090E"/>
    <w:rsid w:val="00BA0A67"/>
    <w:rsid w:val="00BA0B31"/>
    <w:rsid w:val="00BA0D36"/>
    <w:rsid w:val="00BA0D93"/>
    <w:rsid w:val="00BA0DC4"/>
    <w:rsid w:val="00BA0E99"/>
    <w:rsid w:val="00BA0FED"/>
    <w:rsid w:val="00BA1055"/>
    <w:rsid w:val="00BA10EB"/>
    <w:rsid w:val="00BA121C"/>
    <w:rsid w:val="00BA1325"/>
    <w:rsid w:val="00BA137E"/>
    <w:rsid w:val="00BA1B2E"/>
    <w:rsid w:val="00BA1B7D"/>
    <w:rsid w:val="00BA1C21"/>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19A"/>
    <w:rsid w:val="00BA3244"/>
    <w:rsid w:val="00BA3262"/>
    <w:rsid w:val="00BA342D"/>
    <w:rsid w:val="00BA36A1"/>
    <w:rsid w:val="00BA3979"/>
    <w:rsid w:val="00BA39D8"/>
    <w:rsid w:val="00BA3BE5"/>
    <w:rsid w:val="00BA413F"/>
    <w:rsid w:val="00BA440F"/>
    <w:rsid w:val="00BA44AA"/>
    <w:rsid w:val="00BA471B"/>
    <w:rsid w:val="00BA475C"/>
    <w:rsid w:val="00BA4791"/>
    <w:rsid w:val="00BA4852"/>
    <w:rsid w:val="00BA4CD8"/>
    <w:rsid w:val="00BA4D0A"/>
    <w:rsid w:val="00BA4DBE"/>
    <w:rsid w:val="00BA4F2B"/>
    <w:rsid w:val="00BA5147"/>
    <w:rsid w:val="00BA51DD"/>
    <w:rsid w:val="00BA51DF"/>
    <w:rsid w:val="00BA520F"/>
    <w:rsid w:val="00BA52B5"/>
    <w:rsid w:val="00BA5346"/>
    <w:rsid w:val="00BA5521"/>
    <w:rsid w:val="00BA5607"/>
    <w:rsid w:val="00BA5750"/>
    <w:rsid w:val="00BA5A02"/>
    <w:rsid w:val="00BA5C56"/>
    <w:rsid w:val="00BA5DFF"/>
    <w:rsid w:val="00BA5ECA"/>
    <w:rsid w:val="00BA5F3B"/>
    <w:rsid w:val="00BA600E"/>
    <w:rsid w:val="00BA6025"/>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A1E"/>
    <w:rsid w:val="00BB0A59"/>
    <w:rsid w:val="00BB0B3A"/>
    <w:rsid w:val="00BB0D69"/>
    <w:rsid w:val="00BB0F6E"/>
    <w:rsid w:val="00BB0FB0"/>
    <w:rsid w:val="00BB117D"/>
    <w:rsid w:val="00BB11A1"/>
    <w:rsid w:val="00BB13EE"/>
    <w:rsid w:val="00BB1589"/>
    <w:rsid w:val="00BB1670"/>
    <w:rsid w:val="00BB182D"/>
    <w:rsid w:val="00BB200C"/>
    <w:rsid w:val="00BB2113"/>
    <w:rsid w:val="00BB2177"/>
    <w:rsid w:val="00BB238A"/>
    <w:rsid w:val="00BB23F8"/>
    <w:rsid w:val="00BB2457"/>
    <w:rsid w:val="00BB27DB"/>
    <w:rsid w:val="00BB2B4B"/>
    <w:rsid w:val="00BB2BD9"/>
    <w:rsid w:val="00BB2D2F"/>
    <w:rsid w:val="00BB2F87"/>
    <w:rsid w:val="00BB2FB4"/>
    <w:rsid w:val="00BB31F4"/>
    <w:rsid w:val="00BB3203"/>
    <w:rsid w:val="00BB325F"/>
    <w:rsid w:val="00BB3318"/>
    <w:rsid w:val="00BB33A5"/>
    <w:rsid w:val="00BB364E"/>
    <w:rsid w:val="00BB37B5"/>
    <w:rsid w:val="00BB3939"/>
    <w:rsid w:val="00BB3A79"/>
    <w:rsid w:val="00BB3E5F"/>
    <w:rsid w:val="00BB40B6"/>
    <w:rsid w:val="00BB42CB"/>
    <w:rsid w:val="00BB44C9"/>
    <w:rsid w:val="00BB477E"/>
    <w:rsid w:val="00BB482C"/>
    <w:rsid w:val="00BB4944"/>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CF"/>
    <w:rsid w:val="00BB79D4"/>
    <w:rsid w:val="00BB7B74"/>
    <w:rsid w:val="00BB7CE6"/>
    <w:rsid w:val="00BB7D90"/>
    <w:rsid w:val="00BC0061"/>
    <w:rsid w:val="00BC00F1"/>
    <w:rsid w:val="00BC01C6"/>
    <w:rsid w:val="00BC02D9"/>
    <w:rsid w:val="00BC046A"/>
    <w:rsid w:val="00BC0563"/>
    <w:rsid w:val="00BC082C"/>
    <w:rsid w:val="00BC082D"/>
    <w:rsid w:val="00BC0A1C"/>
    <w:rsid w:val="00BC0A1F"/>
    <w:rsid w:val="00BC0A2B"/>
    <w:rsid w:val="00BC0B37"/>
    <w:rsid w:val="00BC0C63"/>
    <w:rsid w:val="00BC0E1E"/>
    <w:rsid w:val="00BC0EFC"/>
    <w:rsid w:val="00BC0F9A"/>
    <w:rsid w:val="00BC0FE5"/>
    <w:rsid w:val="00BC155F"/>
    <w:rsid w:val="00BC17BC"/>
    <w:rsid w:val="00BC19A5"/>
    <w:rsid w:val="00BC1A6C"/>
    <w:rsid w:val="00BC1B69"/>
    <w:rsid w:val="00BC1C74"/>
    <w:rsid w:val="00BC2101"/>
    <w:rsid w:val="00BC2333"/>
    <w:rsid w:val="00BC2877"/>
    <w:rsid w:val="00BC2A1E"/>
    <w:rsid w:val="00BC2C75"/>
    <w:rsid w:val="00BC2EE4"/>
    <w:rsid w:val="00BC2F06"/>
    <w:rsid w:val="00BC3233"/>
    <w:rsid w:val="00BC3301"/>
    <w:rsid w:val="00BC3309"/>
    <w:rsid w:val="00BC34DB"/>
    <w:rsid w:val="00BC351B"/>
    <w:rsid w:val="00BC3644"/>
    <w:rsid w:val="00BC3701"/>
    <w:rsid w:val="00BC3A03"/>
    <w:rsid w:val="00BC3CA6"/>
    <w:rsid w:val="00BC3DFC"/>
    <w:rsid w:val="00BC3E10"/>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5D"/>
    <w:rsid w:val="00BC63A5"/>
    <w:rsid w:val="00BC654A"/>
    <w:rsid w:val="00BC6573"/>
    <w:rsid w:val="00BC670A"/>
    <w:rsid w:val="00BC6716"/>
    <w:rsid w:val="00BC67D6"/>
    <w:rsid w:val="00BC6DD7"/>
    <w:rsid w:val="00BC6FC4"/>
    <w:rsid w:val="00BC71A9"/>
    <w:rsid w:val="00BC7475"/>
    <w:rsid w:val="00BC791E"/>
    <w:rsid w:val="00BC79A8"/>
    <w:rsid w:val="00BC7AE9"/>
    <w:rsid w:val="00BC7CCC"/>
    <w:rsid w:val="00BD000F"/>
    <w:rsid w:val="00BD00E5"/>
    <w:rsid w:val="00BD0319"/>
    <w:rsid w:val="00BD052B"/>
    <w:rsid w:val="00BD081A"/>
    <w:rsid w:val="00BD0B62"/>
    <w:rsid w:val="00BD0F9B"/>
    <w:rsid w:val="00BD0FF6"/>
    <w:rsid w:val="00BD10C3"/>
    <w:rsid w:val="00BD1170"/>
    <w:rsid w:val="00BD11B3"/>
    <w:rsid w:val="00BD152C"/>
    <w:rsid w:val="00BD1631"/>
    <w:rsid w:val="00BD1775"/>
    <w:rsid w:val="00BD1ADF"/>
    <w:rsid w:val="00BD1D65"/>
    <w:rsid w:val="00BD1D88"/>
    <w:rsid w:val="00BD1DF6"/>
    <w:rsid w:val="00BD1E5C"/>
    <w:rsid w:val="00BD2014"/>
    <w:rsid w:val="00BD2133"/>
    <w:rsid w:val="00BD2215"/>
    <w:rsid w:val="00BD23EE"/>
    <w:rsid w:val="00BD2527"/>
    <w:rsid w:val="00BD2696"/>
    <w:rsid w:val="00BD2711"/>
    <w:rsid w:val="00BD2AC5"/>
    <w:rsid w:val="00BD2AD5"/>
    <w:rsid w:val="00BD2DFD"/>
    <w:rsid w:val="00BD355A"/>
    <w:rsid w:val="00BD359D"/>
    <w:rsid w:val="00BD3B1D"/>
    <w:rsid w:val="00BD3C23"/>
    <w:rsid w:val="00BD3CE0"/>
    <w:rsid w:val="00BD3F52"/>
    <w:rsid w:val="00BD3FA9"/>
    <w:rsid w:val="00BD4047"/>
    <w:rsid w:val="00BD411A"/>
    <w:rsid w:val="00BD42CE"/>
    <w:rsid w:val="00BD433C"/>
    <w:rsid w:val="00BD451A"/>
    <w:rsid w:val="00BD4520"/>
    <w:rsid w:val="00BD48B8"/>
    <w:rsid w:val="00BD4A41"/>
    <w:rsid w:val="00BD4B47"/>
    <w:rsid w:val="00BD4F3A"/>
    <w:rsid w:val="00BD5207"/>
    <w:rsid w:val="00BD522B"/>
    <w:rsid w:val="00BD53D0"/>
    <w:rsid w:val="00BD56F3"/>
    <w:rsid w:val="00BD599C"/>
    <w:rsid w:val="00BD5A24"/>
    <w:rsid w:val="00BD5A72"/>
    <w:rsid w:val="00BD5B86"/>
    <w:rsid w:val="00BD5BCC"/>
    <w:rsid w:val="00BD5EA0"/>
    <w:rsid w:val="00BD5F97"/>
    <w:rsid w:val="00BD60AB"/>
    <w:rsid w:val="00BD60E0"/>
    <w:rsid w:val="00BD60FD"/>
    <w:rsid w:val="00BD6145"/>
    <w:rsid w:val="00BD641B"/>
    <w:rsid w:val="00BD6769"/>
    <w:rsid w:val="00BD6799"/>
    <w:rsid w:val="00BD67BB"/>
    <w:rsid w:val="00BD68D0"/>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918"/>
    <w:rsid w:val="00BD79EE"/>
    <w:rsid w:val="00BD7B58"/>
    <w:rsid w:val="00BD7C74"/>
    <w:rsid w:val="00BD7EE4"/>
    <w:rsid w:val="00BD7F19"/>
    <w:rsid w:val="00BD7F60"/>
    <w:rsid w:val="00BD7F61"/>
    <w:rsid w:val="00BD7FCA"/>
    <w:rsid w:val="00BE0025"/>
    <w:rsid w:val="00BE02C9"/>
    <w:rsid w:val="00BE03A6"/>
    <w:rsid w:val="00BE042C"/>
    <w:rsid w:val="00BE04B0"/>
    <w:rsid w:val="00BE04C6"/>
    <w:rsid w:val="00BE06B0"/>
    <w:rsid w:val="00BE07FF"/>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20B9"/>
    <w:rsid w:val="00BE2358"/>
    <w:rsid w:val="00BE2414"/>
    <w:rsid w:val="00BE2615"/>
    <w:rsid w:val="00BE2B5F"/>
    <w:rsid w:val="00BE2B62"/>
    <w:rsid w:val="00BE2C31"/>
    <w:rsid w:val="00BE2D83"/>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8DE"/>
    <w:rsid w:val="00BE4910"/>
    <w:rsid w:val="00BE4C5C"/>
    <w:rsid w:val="00BE4C90"/>
    <w:rsid w:val="00BE4C9C"/>
    <w:rsid w:val="00BE4D2F"/>
    <w:rsid w:val="00BE4E03"/>
    <w:rsid w:val="00BE50BB"/>
    <w:rsid w:val="00BE5212"/>
    <w:rsid w:val="00BE52C5"/>
    <w:rsid w:val="00BE539D"/>
    <w:rsid w:val="00BE53C3"/>
    <w:rsid w:val="00BE5646"/>
    <w:rsid w:val="00BE57B0"/>
    <w:rsid w:val="00BE59EA"/>
    <w:rsid w:val="00BE5D41"/>
    <w:rsid w:val="00BE5E19"/>
    <w:rsid w:val="00BE61D9"/>
    <w:rsid w:val="00BE6253"/>
    <w:rsid w:val="00BE6315"/>
    <w:rsid w:val="00BE6400"/>
    <w:rsid w:val="00BE64BF"/>
    <w:rsid w:val="00BE64C9"/>
    <w:rsid w:val="00BE659E"/>
    <w:rsid w:val="00BE6BB2"/>
    <w:rsid w:val="00BE6C99"/>
    <w:rsid w:val="00BE6DB3"/>
    <w:rsid w:val="00BE6DBA"/>
    <w:rsid w:val="00BE6E1B"/>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EE"/>
    <w:rsid w:val="00BF1C14"/>
    <w:rsid w:val="00BF1DEF"/>
    <w:rsid w:val="00BF1EAC"/>
    <w:rsid w:val="00BF1F80"/>
    <w:rsid w:val="00BF20E2"/>
    <w:rsid w:val="00BF230B"/>
    <w:rsid w:val="00BF2543"/>
    <w:rsid w:val="00BF2817"/>
    <w:rsid w:val="00BF2A4B"/>
    <w:rsid w:val="00BF32DE"/>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606"/>
    <w:rsid w:val="00BF47DA"/>
    <w:rsid w:val="00BF4827"/>
    <w:rsid w:val="00BF4841"/>
    <w:rsid w:val="00BF4AC5"/>
    <w:rsid w:val="00BF4AF7"/>
    <w:rsid w:val="00BF4D4E"/>
    <w:rsid w:val="00BF4E38"/>
    <w:rsid w:val="00BF4E7E"/>
    <w:rsid w:val="00BF4ECA"/>
    <w:rsid w:val="00BF5008"/>
    <w:rsid w:val="00BF51F9"/>
    <w:rsid w:val="00BF52AA"/>
    <w:rsid w:val="00BF539E"/>
    <w:rsid w:val="00BF5408"/>
    <w:rsid w:val="00BF57C4"/>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7049"/>
    <w:rsid w:val="00BF713D"/>
    <w:rsid w:val="00BF73C3"/>
    <w:rsid w:val="00BF750F"/>
    <w:rsid w:val="00BF75D0"/>
    <w:rsid w:val="00BF762E"/>
    <w:rsid w:val="00BF791F"/>
    <w:rsid w:val="00BF797D"/>
    <w:rsid w:val="00BF7D9F"/>
    <w:rsid w:val="00BF7DBD"/>
    <w:rsid w:val="00C00277"/>
    <w:rsid w:val="00C00843"/>
    <w:rsid w:val="00C00923"/>
    <w:rsid w:val="00C00C50"/>
    <w:rsid w:val="00C00DBD"/>
    <w:rsid w:val="00C011FB"/>
    <w:rsid w:val="00C01240"/>
    <w:rsid w:val="00C0150E"/>
    <w:rsid w:val="00C0180A"/>
    <w:rsid w:val="00C01B11"/>
    <w:rsid w:val="00C01B18"/>
    <w:rsid w:val="00C01C40"/>
    <w:rsid w:val="00C01D0F"/>
    <w:rsid w:val="00C01D74"/>
    <w:rsid w:val="00C01F4A"/>
    <w:rsid w:val="00C02250"/>
    <w:rsid w:val="00C025E7"/>
    <w:rsid w:val="00C028C1"/>
    <w:rsid w:val="00C02CE2"/>
    <w:rsid w:val="00C02E8A"/>
    <w:rsid w:val="00C02F46"/>
    <w:rsid w:val="00C02FCB"/>
    <w:rsid w:val="00C02FE0"/>
    <w:rsid w:val="00C033E0"/>
    <w:rsid w:val="00C03477"/>
    <w:rsid w:val="00C03522"/>
    <w:rsid w:val="00C036B6"/>
    <w:rsid w:val="00C037F0"/>
    <w:rsid w:val="00C0394D"/>
    <w:rsid w:val="00C039D3"/>
    <w:rsid w:val="00C03B5C"/>
    <w:rsid w:val="00C03BAA"/>
    <w:rsid w:val="00C03BC1"/>
    <w:rsid w:val="00C03D05"/>
    <w:rsid w:val="00C03E8D"/>
    <w:rsid w:val="00C03F8F"/>
    <w:rsid w:val="00C03FCF"/>
    <w:rsid w:val="00C04067"/>
    <w:rsid w:val="00C040D7"/>
    <w:rsid w:val="00C041CF"/>
    <w:rsid w:val="00C0433B"/>
    <w:rsid w:val="00C0438C"/>
    <w:rsid w:val="00C04440"/>
    <w:rsid w:val="00C04444"/>
    <w:rsid w:val="00C044C8"/>
    <w:rsid w:val="00C047B9"/>
    <w:rsid w:val="00C048C3"/>
    <w:rsid w:val="00C04A32"/>
    <w:rsid w:val="00C04ACD"/>
    <w:rsid w:val="00C04AD3"/>
    <w:rsid w:val="00C04B0B"/>
    <w:rsid w:val="00C04BCF"/>
    <w:rsid w:val="00C04D75"/>
    <w:rsid w:val="00C04E6F"/>
    <w:rsid w:val="00C04F2C"/>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D88"/>
    <w:rsid w:val="00C05DA7"/>
    <w:rsid w:val="00C05FEB"/>
    <w:rsid w:val="00C06491"/>
    <w:rsid w:val="00C06516"/>
    <w:rsid w:val="00C06582"/>
    <w:rsid w:val="00C065F6"/>
    <w:rsid w:val="00C06661"/>
    <w:rsid w:val="00C0673A"/>
    <w:rsid w:val="00C069A0"/>
    <w:rsid w:val="00C06AD2"/>
    <w:rsid w:val="00C06AEC"/>
    <w:rsid w:val="00C06D55"/>
    <w:rsid w:val="00C06DF3"/>
    <w:rsid w:val="00C06FC3"/>
    <w:rsid w:val="00C07182"/>
    <w:rsid w:val="00C07326"/>
    <w:rsid w:val="00C074AC"/>
    <w:rsid w:val="00C074BC"/>
    <w:rsid w:val="00C075C2"/>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D9E"/>
    <w:rsid w:val="00C10E52"/>
    <w:rsid w:val="00C111D2"/>
    <w:rsid w:val="00C114D8"/>
    <w:rsid w:val="00C116D4"/>
    <w:rsid w:val="00C117F7"/>
    <w:rsid w:val="00C11D63"/>
    <w:rsid w:val="00C11EED"/>
    <w:rsid w:val="00C120EB"/>
    <w:rsid w:val="00C12238"/>
    <w:rsid w:val="00C12541"/>
    <w:rsid w:val="00C125C4"/>
    <w:rsid w:val="00C12616"/>
    <w:rsid w:val="00C126D3"/>
    <w:rsid w:val="00C128A1"/>
    <w:rsid w:val="00C1295F"/>
    <w:rsid w:val="00C12A2E"/>
    <w:rsid w:val="00C12A76"/>
    <w:rsid w:val="00C12EC2"/>
    <w:rsid w:val="00C13128"/>
    <w:rsid w:val="00C1328D"/>
    <w:rsid w:val="00C13291"/>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C7"/>
    <w:rsid w:val="00C15459"/>
    <w:rsid w:val="00C1557C"/>
    <w:rsid w:val="00C15580"/>
    <w:rsid w:val="00C15699"/>
    <w:rsid w:val="00C15708"/>
    <w:rsid w:val="00C1571A"/>
    <w:rsid w:val="00C157AE"/>
    <w:rsid w:val="00C157B0"/>
    <w:rsid w:val="00C1597E"/>
    <w:rsid w:val="00C1599C"/>
    <w:rsid w:val="00C15A35"/>
    <w:rsid w:val="00C15CAC"/>
    <w:rsid w:val="00C15DC1"/>
    <w:rsid w:val="00C15F73"/>
    <w:rsid w:val="00C160BD"/>
    <w:rsid w:val="00C160FF"/>
    <w:rsid w:val="00C1630E"/>
    <w:rsid w:val="00C16604"/>
    <w:rsid w:val="00C16710"/>
    <w:rsid w:val="00C16BE9"/>
    <w:rsid w:val="00C16CDC"/>
    <w:rsid w:val="00C16D94"/>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9B"/>
    <w:rsid w:val="00C17ED1"/>
    <w:rsid w:val="00C17F0C"/>
    <w:rsid w:val="00C20275"/>
    <w:rsid w:val="00C2038F"/>
    <w:rsid w:val="00C203CB"/>
    <w:rsid w:val="00C204EF"/>
    <w:rsid w:val="00C2053C"/>
    <w:rsid w:val="00C20550"/>
    <w:rsid w:val="00C20842"/>
    <w:rsid w:val="00C20881"/>
    <w:rsid w:val="00C20903"/>
    <w:rsid w:val="00C20932"/>
    <w:rsid w:val="00C20933"/>
    <w:rsid w:val="00C2098A"/>
    <w:rsid w:val="00C20A3B"/>
    <w:rsid w:val="00C20DC8"/>
    <w:rsid w:val="00C20DEF"/>
    <w:rsid w:val="00C20E6A"/>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A0"/>
    <w:rsid w:val="00C238D0"/>
    <w:rsid w:val="00C23958"/>
    <w:rsid w:val="00C23996"/>
    <w:rsid w:val="00C23A1A"/>
    <w:rsid w:val="00C23A34"/>
    <w:rsid w:val="00C23F38"/>
    <w:rsid w:val="00C23F72"/>
    <w:rsid w:val="00C24032"/>
    <w:rsid w:val="00C241B8"/>
    <w:rsid w:val="00C2424B"/>
    <w:rsid w:val="00C245EA"/>
    <w:rsid w:val="00C2466D"/>
    <w:rsid w:val="00C24836"/>
    <w:rsid w:val="00C24AC1"/>
    <w:rsid w:val="00C24B2E"/>
    <w:rsid w:val="00C24B8F"/>
    <w:rsid w:val="00C24DB0"/>
    <w:rsid w:val="00C2514F"/>
    <w:rsid w:val="00C256AF"/>
    <w:rsid w:val="00C25783"/>
    <w:rsid w:val="00C25784"/>
    <w:rsid w:val="00C2584C"/>
    <w:rsid w:val="00C25A62"/>
    <w:rsid w:val="00C25A68"/>
    <w:rsid w:val="00C25BD9"/>
    <w:rsid w:val="00C25C09"/>
    <w:rsid w:val="00C25D03"/>
    <w:rsid w:val="00C25E96"/>
    <w:rsid w:val="00C25EC6"/>
    <w:rsid w:val="00C25F37"/>
    <w:rsid w:val="00C260B2"/>
    <w:rsid w:val="00C263FA"/>
    <w:rsid w:val="00C263FC"/>
    <w:rsid w:val="00C266F4"/>
    <w:rsid w:val="00C26803"/>
    <w:rsid w:val="00C2695E"/>
    <w:rsid w:val="00C269EB"/>
    <w:rsid w:val="00C26A0E"/>
    <w:rsid w:val="00C26B54"/>
    <w:rsid w:val="00C26BD1"/>
    <w:rsid w:val="00C26CC2"/>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AB"/>
    <w:rsid w:val="00C27EB7"/>
    <w:rsid w:val="00C30184"/>
    <w:rsid w:val="00C30212"/>
    <w:rsid w:val="00C305ED"/>
    <w:rsid w:val="00C3072C"/>
    <w:rsid w:val="00C30831"/>
    <w:rsid w:val="00C30AA4"/>
    <w:rsid w:val="00C30CC3"/>
    <w:rsid w:val="00C30E85"/>
    <w:rsid w:val="00C30F4F"/>
    <w:rsid w:val="00C30F50"/>
    <w:rsid w:val="00C30FA3"/>
    <w:rsid w:val="00C311AF"/>
    <w:rsid w:val="00C311EB"/>
    <w:rsid w:val="00C31946"/>
    <w:rsid w:val="00C31B75"/>
    <w:rsid w:val="00C31F12"/>
    <w:rsid w:val="00C3250E"/>
    <w:rsid w:val="00C32539"/>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C6C"/>
    <w:rsid w:val="00C35D32"/>
    <w:rsid w:val="00C35D4F"/>
    <w:rsid w:val="00C36343"/>
    <w:rsid w:val="00C363AB"/>
    <w:rsid w:val="00C36535"/>
    <w:rsid w:val="00C368E7"/>
    <w:rsid w:val="00C36AF2"/>
    <w:rsid w:val="00C36B46"/>
    <w:rsid w:val="00C36B4B"/>
    <w:rsid w:val="00C36C1E"/>
    <w:rsid w:val="00C36CAB"/>
    <w:rsid w:val="00C36F75"/>
    <w:rsid w:val="00C37064"/>
    <w:rsid w:val="00C372A7"/>
    <w:rsid w:val="00C374A4"/>
    <w:rsid w:val="00C3753E"/>
    <w:rsid w:val="00C375CF"/>
    <w:rsid w:val="00C37727"/>
    <w:rsid w:val="00C379AF"/>
    <w:rsid w:val="00C37B63"/>
    <w:rsid w:val="00C37C4B"/>
    <w:rsid w:val="00C37D63"/>
    <w:rsid w:val="00C4025B"/>
    <w:rsid w:val="00C4028A"/>
    <w:rsid w:val="00C402E0"/>
    <w:rsid w:val="00C4054B"/>
    <w:rsid w:val="00C406EC"/>
    <w:rsid w:val="00C40954"/>
    <w:rsid w:val="00C4097E"/>
    <w:rsid w:val="00C40BA6"/>
    <w:rsid w:val="00C40BD9"/>
    <w:rsid w:val="00C40DD4"/>
    <w:rsid w:val="00C411C2"/>
    <w:rsid w:val="00C412A9"/>
    <w:rsid w:val="00C41418"/>
    <w:rsid w:val="00C414D3"/>
    <w:rsid w:val="00C416BF"/>
    <w:rsid w:val="00C41C22"/>
    <w:rsid w:val="00C41DF8"/>
    <w:rsid w:val="00C42096"/>
    <w:rsid w:val="00C420F9"/>
    <w:rsid w:val="00C421B7"/>
    <w:rsid w:val="00C4280B"/>
    <w:rsid w:val="00C42AEA"/>
    <w:rsid w:val="00C42B6D"/>
    <w:rsid w:val="00C42EB5"/>
    <w:rsid w:val="00C42EF2"/>
    <w:rsid w:val="00C42F73"/>
    <w:rsid w:val="00C4317F"/>
    <w:rsid w:val="00C43190"/>
    <w:rsid w:val="00C431F8"/>
    <w:rsid w:val="00C432D2"/>
    <w:rsid w:val="00C43522"/>
    <w:rsid w:val="00C435EE"/>
    <w:rsid w:val="00C43815"/>
    <w:rsid w:val="00C4384C"/>
    <w:rsid w:val="00C43B43"/>
    <w:rsid w:val="00C43D4D"/>
    <w:rsid w:val="00C43E8E"/>
    <w:rsid w:val="00C4430D"/>
    <w:rsid w:val="00C44907"/>
    <w:rsid w:val="00C44B12"/>
    <w:rsid w:val="00C44E38"/>
    <w:rsid w:val="00C44F06"/>
    <w:rsid w:val="00C45033"/>
    <w:rsid w:val="00C450CB"/>
    <w:rsid w:val="00C45365"/>
    <w:rsid w:val="00C45660"/>
    <w:rsid w:val="00C457A0"/>
    <w:rsid w:val="00C458FC"/>
    <w:rsid w:val="00C45980"/>
    <w:rsid w:val="00C45BF0"/>
    <w:rsid w:val="00C45C2A"/>
    <w:rsid w:val="00C45D64"/>
    <w:rsid w:val="00C45F32"/>
    <w:rsid w:val="00C4641B"/>
    <w:rsid w:val="00C4674B"/>
    <w:rsid w:val="00C46995"/>
    <w:rsid w:val="00C469A7"/>
    <w:rsid w:val="00C46B54"/>
    <w:rsid w:val="00C46D0D"/>
    <w:rsid w:val="00C46F7C"/>
    <w:rsid w:val="00C46FF5"/>
    <w:rsid w:val="00C47043"/>
    <w:rsid w:val="00C472A0"/>
    <w:rsid w:val="00C47446"/>
    <w:rsid w:val="00C474BF"/>
    <w:rsid w:val="00C47B8D"/>
    <w:rsid w:val="00C47CA4"/>
    <w:rsid w:val="00C47EE8"/>
    <w:rsid w:val="00C47F0C"/>
    <w:rsid w:val="00C47F4D"/>
    <w:rsid w:val="00C500F4"/>
    <w:rsid w:val="00C501BD"/>
    <w:rsid w:val="00C50327"/>
    <w:rsid w:val="00C5035A"/>
    <w:rsid w:val="00C5040A"/>
    <w:rsid w:val="00C506DF"/>
    <w:rsid w:val="00C5070C"/>
    <w:rsid w:val="00C50756"/>
    <w:rsid w:val="00C50BA9"/>
    <w:rsid w:val="00C50D82"/>
    <w:rsid w:val="00C50F81"/>
    <w:rsid w:val="00C50F95"/>
    <w:rsid w:val="00C51020"/>
    <w:rsid w:val="00C51081"/>
    <w:rsid w:val="00C510F1"/>
    <w:rsid w:val="00C51331"/>
    <w:rsid w:val="00C51705"/>
    <w:rsid w:val="00C517E9"/>
    <w:rsid w:val="00C517F3"/>
    <w:rsid w:val="00C51F5A"/>
    <w:rsid w:val="00C5201D"/>
    <w:rsid w:val="00C520A8"/>
    <w:rsid w:val="00C52432"/>
    <w:rsid w:val="00C524C2"/>
    <w:rsid w:val="00C52507"/>
    <w:rsid w:val="00C52651"/>
    <w:rsid w:val="00C527A6"/>
    <w:rsid w:val="00C5289E"/>
    <w:rsid w:val="00C529C2"/>
    <w:rsid w:val="00C52A62"/>
    <w:rsid w:val="00C52CDE"/>
    <w:rsid w:val="00C52CE3"/>
    <w:rsid w:val="00C52ECE"/>
    <w:rsid w:val="00C5310D"/>
    <w:rsid w:val="00C53112"/>
    <w:rsid w:val="00C53201"/>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AF"/>
    <w:rsid w:val="00C55DCC"/>
    <w:rsid w:val="00C55FB7"/>
    <w:rsid w:val="00C5600F"/>
    <w:rsid w:val="00C56043"/>
    <w:rsid w:val="00C563D6"/>
    <w:rsid w:val="00C5644A"/>
    <w:rsid w:val="00C56863"/>
    <w:rsid w:val="00C568E5"/>
    <w:rsid w:val="00C569C9"/>
    <w:rsid w:val="00C56ABE"/>
    <w:rsid w:val="00C56CAC"/>
    <w:rsid w:val="00C56D1C"/>
    <w:rsid w:val="00C56E37"/>
    <w:rsid w:val="00C56FB9"/>
    <w:rsid w:val="00C57088"/>
    <w:rsid w:val="00C57274"/>
    <w:rsid w:val="00C57320"/>
    <w:rsid w:val="00C5739C"/>
    <w:rsid w:val="00C575BE"/>
    <w:rsid w:val="00C57913"/>
    <w:rsid w:val="00C57A3F"/>
    <w:rsid w:val="00C57B19"/>
    <w:rsid w:val="00C57C4F"/>
    <w:rsid w:val="00C57CF7"/>
    <w:rsid w:val="00C57D0F"/>
    <w:rsid w:val="00C57EA0"/>
    <w:rsid w:val="00C57F7D"/>
    <w:rsid w:val="00C57FD0"/>
    <w:rsid w:val="00C601B8"/>
    <w:rsid w:val="00C6025E"/>
    <w:rsid w:val="00C603C8"/>
    <w:rsid w:val="00C60433"/>
    <w:rsid w:val="00C606FF"/>
    <w:rsid w:val="00C60817"/>
    <w:rsid w:val="00C60994"/>
    <w:rsid w:val="00C609B9"/>
    <w:rsid w:val="00C60AA4"/>
    <w:rsid w:val="00C60F79"/>
    <w:rsid w:val="00C611BA"/>
    <w:rsid w:val="00C616BC"/>
    <w:rsid w:val="00C6177A"/>
    <w:rsid w:val="00C61AB4"/>
    <w:rsid w:val="00C61EC7"/>
    <w:rsid w:val="00C61F32"/>
    <w:rsid w:val="00C620DC"/>
    <w:rsid w:val="00C62120"/>
    <w:rsid w:val="00C621D5"/>
    <w:rsid w:val="00C621ED"/>
    <w:rsid w:val="00C621F4"/>
    <w:rsid w:val="00C62211"/>
    <w:rsid w:val="00C622C2"/>
    <w:rsid w:val="00C624AA"/>
    <w:rsid w:val="00C624C3"/>
    <w:rsid w:val="00C6260A"/>
    <w:rsid w:val="00C629A9"/>
    <w:rsid w:val="00C62AE6"/>
    <w:rsid w:val="00C62C16"/>
    <w:rsid w:val="00C62C59"/>
    <w:rsid w:val="00C62CCB"/>
    <w:rsid w:val="00C63022"/>
    <w:rsid w:val="00C630A9"/>
    <w:rsid w:val="00C63208"/>
    <w:rsid w:val="00C63363"/>
    <w:rsid w:val="00C63391"/>
    <w:rsid w:val="00C634F3"/>
    <w:rsid w:val="00C635AE"/>
    <w:rsid w:val="00C635C1"/>
    <w:rsid w:val="00C63758"/>
    <w:rsid w:val="00C63B49"/>
    <w:rsid w:val="00C63B7A"/>
    <w:rsid w:val="00C63BB9"/>
    <w:rsid w:val="00C63E13"/>
    <w:rsid w:val="00C63E48"/>
    <w:rsid w:val="00C6400B"/>
    <w:rsid w:val="00C64230"/>
    <w:rsid w:val="00C643AF"/>
    <w:rsid w:val="00C6446B"/>
    <w:rsid w:val="00C64551"/>
    <w:rsid w:val="00C6461D"/>
    <w:rsid w:val="00C647C6"/>
    <w:rsid w:val="00C6485D"/>
    <w:rsid w:val="00C64AA2"/>
    <w:rsid w:val="00C64E8D"/>
    <w:rsid w:val="00C64F0C"/>
    <w:rsid w:val="00C65089"/>
    <w:rsid w:val="00C65113"/>
    <w:rsid w:val="00C652CD"/>
    <w:rsid w:val="00C6531C"/>
    <w:rsid w:val="00C65491"/>
    <w:rsid w:val="00C65894"/>
    <w:rsid w:val="00C65B2B"/>
    <w:rsid w:val="00C65B48"/>
    <w:rsid w:val="00C65CCF"/>
    <w:rsid w:val="00C65D22"/>
    <w:rsid w:val="00C65EAE"/>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B5"/>
    <w:rsid w:val="00C71158"/>
    <w:rsid w:val="00C7118D"/>
    <w:rsid w:val="00C71195"/>
    <w:rsid w:val="00C7134B"/>
    <w:rsid w:val="00C714EF"/>
    <w:rsid w:val="00C7155F"/>
    <w:rsid w:val="00C71605"/>
    <w:rsid w:val="00C71A6D"/>
    <w:rsid w:val="00C71C72"/>
    <w:rsid w:val="00C71D87"/>
    <w:rsid w:val="00C7228E"/>
    <w:rsid w:val="00C7240F"/>
    <w:rsid w:val="00C727B5"/>
    <w:rsid w:val="00C72893"/>
    <w:rsid w:val="00C72B71"/>
    <w:rsid w:val="00C72C64"/>
    <w:rsid w:val="00C72E42"/>
    <w:rsid w:val="00C72F3D"/>
    <w:rsid w:val="00C730CA"/>
    <w:rsid w:val="00C732F8"/>
    <w:rsid w:val="00C7337A"/>
    <w:rsid w:val="00C734EB"/>
    <w:rsid w:val="00C73607"/>
    <w:rsid w:val="00C7372B"/>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55C"/>
    <w:rsid w:val="00C77CBE"/>
    <w:rsid w:val="00C77DE8"/>
    <w:rsid w:val="00C77FC2"/>
    <w:rsid w:val="00C80102"/>
    <w:rsid w:val="00C80163"/>
    <w:rsid w:val="00C801FF"/>
    <w:rsid w:val="00C80201"/>
    <w:rsid w:val="00C80373"/>
    <w:rsid w:val="00C8039C"/>
    <w:rsid w:val="00C80625"/>
    <w:rsid w:val="00C806BA"/>
    <w:rsid w:val="00C807A2"/>
    <w:rsid w:val="00C80AF7"/>
    <w:rsid w:val="00C80C01"/>
    <w:rsid w:val="00C80C33"/>
    <w:rsid w:val="00C80D0C"/>
    <w:rsid w:val="00C80E60"/>
    <w:rsid w:val="00C80EEC"/>
    <w:rsid w:val="00C810B5"/>
    <w:rsid w:val="00C812C0"/>
    <w:rsid w:val="00C814D1"/>
    <w:rsid w:val="00C81C9F"/>
    <w:rsid w:val="00C81CA8"/>
    <w:rsid w:val="00C81D03"/>
    <w:rsid w:val="00C82166"/>
    <w:rsid w:val="00C822D2"/>
    <w:rsid w:val="00C8246B"/>
    <w:rsid w:val="00C82932"/>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6C1"/>
    <w:rsid w:val="00C87700"/>
    <w:rsid w:val="00C87878"/>
    <w:rsid w:val="00C87B00"/>
    <w:rsid w:val="00C87B3D"/>
    <w:rsid w:val="00C87C8A"/>
    <w:rsid w:val="00C87ED7"/>
    <w:rsid w:val="00C87F93"/>
    <w:rsid w:val="00C9024C"/>
    <w:rsid w:val="00C903AF"/>
    <w:rsid w:val="00C904F1"/>
    <w:rsid w:val="00C90660"/>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64F"/>
    <w:rsid w:val="00C91B04"/>
    <w:rsid w:val="00C91C16"/>
    <w:rsid w:val="00C91E7A"/>
    <w:rsid w:val="00C91F96"/>
    <w:rsid w:val="00C92271"/>
    <w:rsid w:val="00C924A4"/>
    <w:rsid w:val="00C925B4"/>
    <w:rsid w:val="00C9270F"/>
    <w:rsid w:val="00C927FE"/>
    <w:rsid w:val="00C928C2"/>
    <w:rsid w:val="00C92A36"/>
    <w:rsid w:val="00C92C80"/>
    <w:rsid w:val="00C92FDA"/>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4CE"/>
    <w:rsid w:val="00C95525"/>
    <w:rsid w:val="00C9552E"/>
    <w:rsid w:val="00C95541"/>
    <w:rsid w:val="00C9569A"/>
    <w:rsid w:val="00C9596D"/>
    <w:rsid w:val="00C95A0B"/>
    <w:rsid w:val="00C95CAF"/>
    <w:rsid w:val="00C95D18"/>
    <w:rsid w:val="00C95D3E"/>
    <w:rsid w:val="00C95E9F"/>
    <w:rsid w:val="00C960BB"/>
    <w:rsid w:val="00C960BD"/>
    <w:rsid w:val="00C960D6"/>
    <w:rsid w:val="00C966CE"/>
    <w:rsid w:val="00C967A1"/>
    <w:rsid w:val="00C967BD"/>
    <w:rsid w:val="00C967FF"/>
    <w:rsid w:val="00C969E0"/>
    <w:rsid w:val="00C96A29"/>
    <w:rsid w:val="00C96A70"/>
    <w:rsid w:val="00C96AEE"/>
    <w:rsid w:val="00C96E08"/>
    <w:rsid w:val="00C96F0B"/>
    <w:rsid w:val="00C972C1"/>
    <w:rsid w:val="00C9730F"/>
    <w:rsid w:val="00C97698"/>
    <w:rsid w:val="00C9778F"/>
    <w:rsid w:val="00C97939"/>
    <w:rsid w:val="00C9796A"/>
    <w:rsid w:val="00C97978"/>
    <w:rsid w:val="00C97AC1"/>
    <w:rsid w:val="00C97B88"/>
    <w:rsid w:val="00C97E7F"/>
    <w:rsid w:val="00CA00AD"/>
    <w:rsid w:val="00CA01FE"/>
    <w:rsid w:val="00CA0243"/>
    <w:rsid w:val="00CA02BC"/>
    <w:rsid w:val="00CA043E"/>
    <w:rsid w:val="00CA0552"/>
    <w:rsid w:val="00CA06E8"/>
    <w:rsid w:val="00CA0872"/>
    <w:rsid w:val="00CA0910"/>
    <w:rsid w:val="00CA095F"/>
    <w:rsid w:val="00CA0A2E"/>
    <w:rsid w:val="00CA0A49"/>
    <w:rsid w:val="00CA0B08"/>
    <w:rsid w:val="00CA0DA9"/>
    <w:rsid w:val="00CA0FA8"/>
    <w:rsid w:val="00CA1553"/>
    <w:rsid w:val="00CA16EC"/>
    <w:rsid w:val="00CA171D"/>
    <w:rsid w:val="00CA1BF7"/>
    <w:rsid w:val="00CA1FC6"/>
    <w:rsid w:val="00CA224D"/>
    <w:rsid w:val="00CA23A0"/>
    <w:rsid w:val="00CA2789"/>
    <w:rsid w:val="00CA278A"/>
    <w:rsid w:val="00CA2832"/>
    <w:rsid w:val="00CA294B"/>
    <w:rsid w:val="00CA2C7B"/>
    <w:rsid w:val="00CA3088"/>
    <w:rsid w:val="00CA3292"/>
    <w:rsid w:val="00CA346B"/>
    <w:rsid w:val="00CA360A"/>
    <w:rsid w:val="00CA368C"/>
    <w:rsid w:val="00CA377C"/>
    <w:rsid w:val="00CA38D3"/>
    <w:rsid w:val="00CA3C08"/>
    <w:rsid w:val="00CA3C48"/>
    <w:rsid w:val="00CA3F42"/>
    <w:rsid w:val="00CA3FBC"/>
    <w:rsid w:val="00CA3FC6"/>
    <w:rsid w:val="00CA4052"/>
    <w:rsid w:val="00CA40E2"/>
    <w:rsid w:val="00CA41C3"/>
    <w:rsid w:val="00CA4314"/>
    <w:rsid w:val="00CA435B"/>
    <w:rsid w:val="00CA4573"/>
    <w:rsid w:val="00CA4598"/>
    <w:rsid w:val="00CA47D1"/>
    <w:rsid w:val="00CA481D"/>
    <w:rsid w:val="00CA488A"/>
    <w:rsid w:val="00CA5007"/>
    <w:rsid w:val="00CA50CA"/>
    <w:rsid w:val="00CA536D"/>
    <w:rsid w:val="00CA5723"/>
    <w:rsid w:val="00CA5781"/>
    <w:rsid w:val="00CA5A01"/>
    <w:rsid w:val="00CA5A07"/>
    <w:rsid w:val="00CA5B31"/>
    <w:rsid w:val="00CA5BE9"/>
    <w:rsid w:val="00CA5BF1"/>
    <w:rsid w:val="00CA5C4E"/>
    <w:rsid w:val="00CA5C97"/>
    <w:rsid w:val="00CA5CF4"/>
    <w:rsid w:val="00CA5E8B"/>
    <w:rsid w:val="00CA61B8"/>
    <w:rsid w:val="00CA63B2"/>
    <w:rsid w:val="00CA645C"/>
    <w:rsid w:val="00CA694A"/>
    <w:rsid w:val="00CA6955"/>
    <w:rsid w:val="00CA69C4"/>
    <w:rsid w:val="00CA6D88"/>
    <w:rsid w:val="00CA6DDB"/>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B0129"/>
    <w:rsid w:val="00CB0157"/>
    <w:rsid w:val="00CB046F"/>
    <w:rsid w:val="00CB0504"/>
    <w:rsid w:val="00CB083E"/>
    <w:rsid w:val="00CB09EB"/>
    <w:rsid w:val="00CB0C83"/>
    <w:rsid w:val="00CB0CBC"/>
    <w:rsid w:val="00CB0D2B"/>
    <w:rsid w:val="00CB0FDE"/>
    <w:rsid w:val="00CB101F"/>
    <w:rsid w:val="00CB1152"/>
    <w:rsid w:val="00CB1267"/>
    <w:rsid w:val="00CB1360"/>
    <w:rsid w:val="00CB13F8"/>
    <w:rsid w:val="00CB1644"/>
    <w:rsid w:val="00CB1AA7"/>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707"/>
    <w:rsid w:val="00CB385E"/>
    <w:rsid w:val="00CB3912"/>
    <w:rsid w:val="00CB3A39"/>
    <w:rsid w:val="00CB3D4F"/>
    <w:rsid w:val="00CB3DCD"/>
    <w:rsid w:val="00CB3FC3"/>
    <w:rsid w:val="00CB3FF3"/>
    <w:rsid w:val="00CB4067"/>
    <w:rsid w:val="00CB42C2"/>
    <w:rsid w:val="00CB42F5"/>
    <w:rsid w:val="00CB439E"/>
    <w:rsid w:val="00CB43F9"/>
    <w:rsid w:val="00CB45FA"/>
    <w:rsid w:val="00CB48C9"/>
    <w:rsid w:val="00CB4A5F"/>
    <w:rsid w:val="00CB4B13"/>
    <w:rsid w:val="00CB4BE6"/>
    <w:rsid w:val="00CB4C2E"/>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C7F"/>
    <w:rsid w:val="00CB6C85"/>
    <w:rsid w:val="00CB6C97"/>
    <w:rsid w:val="00CB6F82"/>
    <w:rsid w:val="00CB70EB"/>
    <w:rsid w:val="00CB73D0"/>
    <w:rsid w:val="00CB74F1"/>
    <w:rsid w:val="00CB7609"/>
    <w:rsid w:val="00CB7719"/>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E4D"/>
    <w:rsid w:val="00CC0ECA"/>
    <w:rsid w:val="00CC0FF0"/>
    <w:rsid w:val="00CC1443"/>
    <w:rsid w:val="00CC165F"/>
    <w:rsid w:val="00CC171A"/>
    <w:rsid w:val="00CC1A7F"/>
    <w:rsid w:val="00CC1C21"/>
    <w:rsid w:val="00CC1E95"/>
    <w:rsid w:val="00CC1E99"/>
    <w:rsid w:val="00CC22F0"/>
    <w:rsid w:val="00CC24B6"/>
    <w:rsid w:val="00CC2785"/>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97"/>
    <w:rsid w:val="00CC49C8"/>
    <w:rsid w:val="00CC4AA5"/>
    <w:rsid w:val="00CC4CD7"/>
    <w:rsid w:val="00CC4DF9"/>
    <w:rsid w:val="00CC4E21"/>
    <w:rsid w:val="00CC4FC9"/>
    <w:rsid w:val="00CC503E"/>
    <w:rsid w:val="00CC513E"/>
    <w:rsid w:val="00CC51A8"/>
    <w:rsid w:val="00CC5275"/>
    <w:rsid w:val="00CC5431"/>
    <w:rsid w:val="00CC5710"/>
    <w:rsid w:val="00CC5A8C"/>
    <w:rsid w:val="00CC5BE3"/>
    <w:rsid w:val="00CC5CE6"/>
    <w:rsid w:val="00CC5D66"/>
    <w:rsid w:val="00CC5D6A"/>
    <w:rsid w:val="00CC5F17"/>
    <w:rsid w:val="00CC60AE"/>
    <w:rsid w:val="00CC6208"/>
    <w:rsid w:val="00CC64F3"/>
    <w:rsid w:val="00CC653C"/>
    <w:rsid w:val="00CC6754"/>
    <w:rsid w:val="00CC69DA"/>
    <w:rsid w:val="00CC6B15"/>
    <w:rsid w:val="00CC6B6E"/>
    <w:rsid w:val="00CC6C1C"/>
    <w:rsid w:val="00CC6DF1"/>
    <w:rsid w:val="00CC722F"/>
    <w:rsid w:val="00CC72A2"/>
    <w:rsid w:val="00CC736E"/>
    <w:rsid w:val="00CC7376"/>
    <w:rsid w:val="00CC757F"/>
    <w:rsid w:val="00CC782E"/>
    <w:rsid w:val="00CC79D3"/>
    <w:rsid w:val="00CC7A8B"/>
    <w:rsid w:val="00CC7D33"/>
    <w:rsid w:val="00CC7F2E"/>
    <w:rsid w:val="00CC7F41"/>
    <w:rsid w:val="00CD004E"/>
    <w:rsid w:val="00CD038B"/>
    <w:rsid w:val="00CD0588"/>
    <w:rsid w:val="00CD0626"/>
    <w:rsid w:val="00CD0637"/>
    <w:rsid w:val="00CD06ED"/>
    <w:rsid w:val="00CD0706"/>
    <w:rsid w:val="00CD08DC"/>
    <w:rsid w:val="00CD090D"/>
    <w:rsid w:val="00CD094F"/>
    <w:rsid w:val="00CD09DF"/>
    <w:rsid w:val="00CD0B04"/>
    <w:rsid w:val="00CD0CAE"/>
    <w:rsid w:val="00CD0D23"/>
    <w:rsid w:val="00CD0D86"/>
    <w:rsid w:val="00CD0EFA"/>
    <w:rsid w:val="00CD0F7F"/>
    <w:rsid w:val="00CD100E"/>
    <w:rsid w:val="00CD128C"/>
    <w:rsid w:val="00CD12FE"/>
    <w:rsid w:val="00CD135E"/>
    <w:rsid w:val="00CD13DD"/>
    <w:rsid w:val="00CD1750"/>
    <w:rsid w:val="00CD1854"/>
    <w:rsid w:val="00CD18FC"/>
    <w:rsid w:val="00CD19C3"/>
    <w:rsid w:val="00CD1B20"/>
    <w:rsid w:val="00CD1C39"/>
    <w:rsid w:val="00CD1E57"/>
    <w:rsid w:val="00CD1F4B"/>
    <w:rsid w:val="00CD1FB8"/>
    <w:rsid w:val="00CD2340"/>
    <w:rsid w:val="00CD2399"/>
    <w:rsid w:val="00CD2698"/>
    <w:rsid w:val="00CD27A2"/>
    <w:rsid w:val="00CD281C"/>
    <w:rsid w:val="00CD2BA1"/>
    <w:rsid w:val="00CD2D31"/>
    <w:rsid w:val="00CD3099"/>
    <w:rsid w:val="00CD3229"/>
    <w:rsid w:val="00CD3250"/>
    <w:rsid w:val="00CD35DD"/>
    <w:rsid w:val="00CD36E8"/>
    <w:rsid w:val="00CD372F"/>
    <w:rsid w:val="00CD3775"/>
    <w:rsid w:val="00CD3AC9"/>
    <w:rsid w:val="00CD3B42"/>
    <w:rsid w:val="00CD3CA1"/>
    <w:rsid w:val="00CD3D77"/>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55C"/>
    <w:rsid w:val="00CD76B8"/>
    <w:rsid w:val="00CD7999"/>
    <w:rsid w:val="00CD7E70"/>
    <w:rsid w:val="00CE0029"/>
    <w:rsid w:val="00CE004B"/>
    <w:rsid w:val="00CE0059"/>
    <w:rsid w:val="00CE00A9"/>
    <w:rsid w:val="00CE02AA"/>
    <w:rsid w:val="00CE02AF"/>
    <w:rsid w:val="00CE0437"/>
    <w:rsid w:val="00CE0666"/>
    <w:rsid w:val="00CE0968"/>
    <w:rsid w:val="00CE0CAD"/>
    <w:rsid w:val="00CE10DF"/>
    <w:rsid w:val="00CE115E"/>
    <w:rsid w:val="00CE116A"/>
    <w:rsid w:val="00CE1189"/>
    <w:rsid w:val="00CE11EE"/>
    <w:rsid w:val="00CE1237"/>
    <w:rsid w:val="00CE12B9"/>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226"/>
    <w:rsid w:val="00CE32E7"/>
    <w:rsid w:val="00CE3418"/>
    <w:rsid w:val="00CE3423"/>
    <w:rsid w:val="00CE370A"/>
    <w:rsid w:val="00CE3A74"/>
    <w:rsid w:val="00CE3C32"/>
    <w:rsid w:val="00CE3C74"/>
    <w:rsid w:val="00CE3DBC"/>
    <w:rsid w:val="00CE411A"/>
    <w:rsid w:val="00CE42A6"/>
    <w:rsid w:val="00CE438D"/>
    <w:rsid w:val="00CE438E"/>
    <w:rsid w:val="00CE475B"/>
    <w:rsid w:val="00CE4850"/>
    <w:rsid w:val="00CE4986"/>
    <w:rsid w:val="00CE49C8"/>
    <w:rsid w:val="00CE4ACC"/>
    <w:rsid w:val="00CE4B2E"/>
    <w:rsid w:val="00CE4CFB"/>
    <w:rsid w:val="00CE4D17"/>
    <w:rsid w:val="00CE4DDD"/>
    <w:rsid w:val="00CE503A"/>
    <w:rsid w:val="00CE50C1"/>
    <w:rsid w:val="00CE5259"/>
    <w:rsid w:val="00CE5270"/>
    <w:rsid w:val="00CE52DB"/>
    <w:rsid w:val="00CE530C"/>
    <w:rsid w:val="00CE5696"/>
    <w:rsid w:val="00CE58A4"/>
    <w:rsid w:val="00CE5BF8"/>
    <w:rsid w:val="00CE5C67"/>
    <w:rsid w:val="00CE5F46"/>
    <w:rsid w:val="00CE639B"/>
    <w:rsid w:val="00CE63A6"/>
    <w:rsid w:val="00CE645E"/>
    <w:rsid w:val="00CE65A7"/>
    <w:rsid w:val="00CE6733"/>
    <w:rsid w:val="00CE683C"/>
    <w:rsid w:val="00CE6897"/>
    <w:rsid w:val="00CE6ADE"/>
    <w:rsid w:val="00CE6B92"/>
    <w:rsid w:val="00CE6D06"/>
    <w:rsid w:val="00CE7159"/>
    <w:rsid w:val="00CE71BA"/>
    <w:rsid w:val="00CE72FC"/>
    <w:rsid w:val="00CE7436"/>
    <w:rsid w:val="00CE78BC"/>
    <w:rsid w:val="00CE78EF"/>
    <w:rsid w:val="00CE7913"/>
    <w:rsid w:val="00CE7A0D"/>
    <w:rsid w:val="00CE7A6E"/>
    <w:rsid w:val="00CE7B5A"/>
    <w:rsid w:val="00CE7F55"/>
    <w:rsid w:val="00CF013B"/>
    <w:rsid w:val="00CF0203"/>
    <w:rsid w:val="00CF028B"/>
    <w:rsid w:val="00CF035D"/>
    <w:rsid w:val="00CF04B8"/>
    <w:rsid w:val="00CF0737"/>
    <w:rsid w:val="00CF0866"/>
    <w:rsid w:val="00CF091B"/>
    <w:rsid w:val="00CF0B07"/>
    <w:rsid w:val="00CF0C01"/>
    <w:rsid w:val="00CF0C1E"/>
    <w:rsid w:val="00CF0DC5"/>
    <w:rsid w:val="00CF1073"/>
    <w:rsid w:val="00CF10EA"/>
    <w:rsid w:val="00CF119B"/>
    <w:rsid w:val="00CF12B0"/>
    <w:rsid w:val="00CF1357"/>
    <w:rsid w:val="00CF1433"/>
    <w:rsid w:val="00CF199C"/>
    <w:rsid w:val="00CF1B5F"/>
    <w:rsid w:val="00CF1B76"/>
    <w:rsid w:val="00CF1CAC"/>
    <w:rsid w:val="00CF1D29"/>
    <w:rsid w:val="00CF1FC9"/>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C7C"/>
    <w:rsid w:val="00CF3CF9"/>
    <w:rsid w:val="00CF3D07"/>
    <w:rsid w:val="00CF3DA5"/>
    <w:rsid w:val="00CF3FE9"/>
    <w:rsid w:val="00CF3FF8"/>
    <w:rsid w:val="00CF4197"/>
    <w:rsid w:val="00CF441B"/>
    <w:rsid w:val="00CF46A1"/>
    <w:rsid w:val="00CF48D2"/>
    <w:rsid w:val="00CF4A72"/>
    <w:rsid w:val="00CF500A"/>
    <w:rsid w:val="00CF523C"/>
    <w:rsid w:val="00CF5256"/>
    <w:rsid w:val="00CF5263"/>
    <w:rsid w:val="00CF5436"/>
    <w:rsid w:val="00CF55EC"/>
    <w:rsid w:val="00CF56F5"/>
    <w:rsid w:val="00CF592E"/>
    <w:rsid w:val="00CF5D73"/>
    <w:rsid w:val="00CF6033"/>
    <w:rsid w:val="00CF609B"/>
    <w:rsid w:val="00CF6229"/>
    <w:rsid w:val="00CF62B8"/>
    <w:rsid w:val="00CF63A4"/>
    <w:rsid w:val="00CF63B2"/>
    <w:rsid w:val="00CF65D4"/>
    <w:rsid w:val="00CF66A5"/>
    <w:rsid w:val="00CF68E4"/>
    <w:rsid w:val="00CF6CE8"/>
    <w:rsid w:val="00CF6E00"/>
    <w:rsid w:val="00CF6F96"/>
    <w:rsid w:val="00CF71A5"/>
    <w:rsid w:val="00CF7765"/>
    <w:rsid w:val="00CF7892"/>
    <w:rsid w:val="00CF7B2E"/>
    <w:rsid w:val="00CF7BC7"/>
    <w:rsid w:val="00CF7E80"/>
    <w:rsid w:val="00CF7ECB"/>
    <w:rsid w:val="00D000B8"/>
    <w:rsid w:val="00D0038D"/>
    <w:rsid w:val="00D0060A"/>
    <w:rsid w:val="00D008BA"/>
    <w:rsid w:val="00D00980"/>
    <w:rsid w:val="00D00C95"/>
    <w:rsid w:val="00D00F19"/>
    <w:rsid w:val="00D0108C"/>
    <w:rsid w:val="00D011C2"/>
    <w:rsid w:val="00D01255"/>
    <w:rsid w:val="00D014AC"/>
    <w:rsid w:val="00D01524"/>
    <w:rsid w:val="00D01686"/>
    <w:rsid w:val="00D0171B"/>
    <w:rsid w:val="00D01B8E"/>
    <w:rsid w:val="00D01E00"/>
    <w:rsid w:val="00D021D6"/>
    <w:rsid w:val="00D02331"/>
    <w:rsid w:val="00D02374"/>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49B8"/>
    <w:rsid w:val="00D0506B"/>
    <w:rsid w:val="00D05077"/>
    <w:rsid w:val="00D052B4"/>
    <w:rsid w:val="00D05374"/>
    <w:rsid w:val="00D056D8"/>
    <w:rsid w:val="00D0579C"/>
    <w:rsid w:val="00D058FA"/>
    <w:rsid w:val="00D05935"/>
    <w:rsid w:val="00D059F7"/>
    <w:rsid w:val="00D05EC1"/>
    <w:rsid w:val="00D062F7"/>
    <w:rsid w:val="00D063A3"/>
    <w:rsid w:val="00D0646E"/>
    <w:rsid w:val="00D064A5"/>
    <w:rsid w:val="00D0656F"/>
    <w:rsid w:val="00D065A2"/>
    <w:rsid w:val="00D06735"/>
    <w:rsid w:val="00D0676A"/>
    <w:rsid w:val="00D06780"/>
    <w:rsid w:val="00D0683F"/>
    <w:rsid w:val="00D069B1"/>
    <w:rsid w:val="00D06AD7"/>
    <w:rsid w:val="00D06C3C"/>
    <w:rsid w:val="00D0709C"/>
    <w:rsid w:val="00D0710B"/>
    <w:rsid w:val="00D071A6"/>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A29"/>
    <w:rsid w:val="00D10CE7"/>
    <w:rsid w:val="00D10F00"/>
    <w:rsid w:val="00D10F0F"/>
    <w:rsid w:val="00D10FBB"/>
    <w:rsid w:val="00D10FCB"/>
    <w:rsid w:val="00D111CD"/>
    <w:rsid w:val="00D112DE"/>
    <w:rsid w:val="00D11468"/>
    <w:rsid w:val="00D11539"/>
    <w:rsid w:val="00D1160E"/>
    <w:rsid w:val="00D11A79"/>
    <w:rsid w:val="00D11DC7"/>
    <w:rsid w:val="00D11F2D"/>
    <w:rsid w:val="00D1211A"/>
    <w:rsid w:val="00D1235A"/>
    <w:rsid w:val="00D1246A"/>
    <w:rsid w:val="00D1247D"/>
    <w:rsid w:val="00D125A4"/>
    <w:rsid w:val="00D128B7"/>
    <w:rsid w:val="00D12928"/>
    <w:rsid w:val="00D12A5F"/>
    <w:rsid w:val="00D12B9A"/>
    <w:rsid w:val="00D12D08"/>
    <w:rsid w:val="00D12E38"/>
    <w:rsid w:val="00D13066"/>
    <w:rsid w:val="00D1334C"/>
    <w:rsid w:val="00D13624"/>
    <w:rsid w:val="00D13637"/>
    <w:rsid w:val="00D137A5"/>
    <w:rsid w:val="00D138D7"/>
    <w:rsid w:val="00D13990"/>
    <w:rsid w:val="00D13A87"/>
    <w:rsid w:val="00D13BE7"/>
    <w:rsid w:val="00D13D35"/>
    <w:rsid w:val="00D13EBF"/>
    <w:rsid w:val="00D13FE1"/>
    <w:rsid w:val="00D14232"/>
    <w:rsid w:val="00D143FA"/>
    <w:rsid w:val="00D14827"/>
    <w:rsid w:val="00D14833"/>
    <w:rsid w:val="00D14852"/>
    <w:rsid w:val="00D14AE3"/>
    <w:rsid w:val="00D14C14"/>
    <w:rsid w:val="00D14CA5"/>
    <w:rsid w:val="00D14EDC"/>
    <w:rsid w:val="00D151CC"/>
    <w:rsid w:val="00D15278"/>
    <w:rsid w:val="00D1547B"/>
    <w:rsid w:val="00D1565D"/>
    <w:rsid w:val="00D157D8"/>
    <w:rsid w:val="00D15871"/>
    <w:rsid w:val="00D15E2D"/>
    <w:rsid w:val="00D15E76"/>
    <w:rsid w:val="00D15FCD"/>
    <w:rsid w:val="00D161FC"/>
    <w:rsid w:val="00D1644E"/>
    <w:rsid w:val="00D1675D"/>
    <w:rsid w:val="00D168F2"/>
    <w:rsid w:val="00D1696B"/>
    <w:rsid w:val="00D16995"/>
    <w:rsid w:val="00D169B7"/>
    <w:rsid w:val="00D16AA2"/>
    <w:rsid w:val="00D16D1B"/>
    <w:rsid w:val="00D16DB3"/>
    <w:rsid w:val="00D16DF1"/>
    <w:rsid w:val="00D1740A"/>
    <w:rsid w:val="00D175D4"/>
    <w:rsid w:val="00D1780C"/>
    <w:rsid w:val="00D1789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A44"/>
    <w:rsid w:val="00D21B26"/>
    <w:rsid w:val="00D21C37"/>
    <w:rsid w:val="00D21C7D"/>
    <w:rsid w:val="00D21E84"/>
    <w:rsid w:val="00D21FA6"/>
    <w:rsid w:val="00D22138"/>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3DD"/>
    <w:rsid w:val="00D23446"/>
    <w:rsid w:val="00D23721"/>
    <w:rsid w:val="00D23751"/>
    <w:rsid w:val="00D2381C"/>
    <w:rsid w:val="00D23A0C"/>
    <w:rsid w:val="00D23B5E"/>
    <w:rsid w:val="00D23EBD"/>
    <w:rsid w:val="00D2406A"/>
    <w:rsid w:val="00D240B6"/>
    <w:rsid w:val="00D24106"/>
    <w:rsid w:val="00D2414D"/>
    <w:rsid w:val="00D244D1"/>
    <w:rsid w:val="00D244EA"/>
    <w:rsid w:val="00D245FC"/>
    <w:rsid w:val="00D2469E"/>
    <w:rsid w:val="00D246C9"/>
    <w:rsid w:val="00D2474B"/>
    <w:rsid w:val="00D24847"/>
    <w:rsid w:val="00D2486C"/>
    <w:rsid w:val="00D24AE4"/>
    <w:rsid w:val="00D24B99"/>
    <w:rsid w:val="00D24C1F"/>
    <w:rsid w:val="00D24D6E"/>
    <w:rsid w:val="00D24D80"/>
    <w:rsid w:val="00D24FD3"/>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903"/>
    <w:rsid w:val="00D26AE0"/>
    <w:rsid w:val="00D26BED"/>
    <w:rsid w:val="00D26C96"/>
    <w:rsid w:val="00D26CD8"/>
    <w:rsid w:val="00D26DD9"/>
    <w:rsid w:val="00D276E4"/>
    <w:rsid w:val="00D276F4"/>
    <w:rsid w:val="00D27721"/>
    <w:rsid w:val="00D27831"/>
    <w:rsid w:val="00D27A01"/>
    <w:rsid w:val="00D27A98"/>
    <w:rsid w:val="00D27B25"/>
    <w:rsid w:val="00D27CAB"/>
    <w:rsid w:val="00D27F17"/>
    <w:rsid w:val="00D30005"/>
    <w:rsid w:val="00D30064"/>
    <w:rsid w:val="00D3035B"/>
    <w:rsid w:val="00D30373"/>
    <w:rsid w:val="00D30537"/>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B5"/>
    <w:rsid w:val="00D3181E"/>
    <w:rsid w:val="00D318C8"/>
    <w:rsid w:val="00D3195A"/>
    <w:rsid w:val="00D31B11"/>
    <w:rsid w:val="00D31CE3"/>
    <w:rsid w:val="00D321DF"/>
    <w:rsid w:val="00D32284"/>
    <w:rsid w:val="00D32337"/>
    <w:rsid w:val="00D3251E"/>
    <w:rsid w:val="00D32651"/>
    <w:rsid w:val="00D32679"/>
    <w:rsid w:val="00D326A2"/>
    <w:rsid w:val="00D327A6"/>
    <w:rsid w:val="00D327E6"/>
    <w:rsid w:val="00D32AD3"/>
    <w:rsid w:val="00D32FEC"/>
    <w:rsid w:val="00D3318D"/>
    <w:rsid w:val="00D33361"/>
    <w:rsid w:val="00D33477"/>
    <w:rsid w:val="00D334D0"/>
    <w:rsid w:val="00D3350C"/>
    <w:rsid w:val="00D336CD"/>
    <w:rsid w:val="00D336E2"/>
    <w:rsid w:val="00D33B39"/>
    <w:rsid w:val="00D33BCD"/>
    <w:rsid w:val="00D33DF7"/>
    <w:rsid w:val="00D33F7D"/>
    <w:rsid w:val="00D33F88"/>
    <w:rsid w:val="00D33FE7"/>
    <w:rsid w:val="00D34095"/>
    <w:rsid w:val="00D340B8"/>
    <w:rsid w:val="00D342E1"/>
    <w:rsid w:val="00D343B9"/>
    <w:rsid w:val="00D346F9"/>
    <w:rsid w:val="00D347EF"/>
    <w:rsid w:val="00D34875"/>
    <w:rsid w:val="00D348CD"/>
    <w:rsid w:val="00D34964"/>
    <w:rsid w:val="00D34974"/>
    <w:rsid w:val="00D349A2"/>
    <w:rsid w:val="00D34DAC"/>
    <w:rsid w:val="00D34E06"/>
    <w:rsid w:val="00D34F68"/>
    <w:rsid w:val="00D34FD8"/>
    <w:rsid w:val="00D35012"/>
    <w:rsid w:val="00D350A2"/>
    <w:rsid w:val="00D350C4"/>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D8B"/>
    <w:rsid w:val="00D36E5D"/>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12"/>
    <w:rsid w:val="00D422D4"/>
    <w:rsid w:val="00D42307"/>
    <w:rsid w:val="00D4246C"/>
    <w:rsid w:val="00D424B4"/>
    <w:rsid w:val="00D42567"/>
    <w:rsid w:val="00D425AD"/>
    <w:rsid w:val="00D42658"/>
    <w:rsid w:val="00D42A5B"/>
    <w:rsid w:val="00D42CC5"/>
    <w:rsid w:val="00D43064"/>
    <w:rsid w:val="00D4309D"/>
    <w:rsid w:val="00D4320D"/>
    <w:rsid w:val="00D434C8"/>
    <w:rsid w:val="00D435F3"/>
    <w:rsid w:val="00D4369D"/>
    <w:rsid w:val="00D436FB"/>
    <w:rsid w:val="00D4380B"/>
    <w:rsid w:val="00D4394E"/>
    <w:rsid w:val="00D43BA1"/>
    <w:rsid w:val="00D43D57"/>
    <w:rsid w:val="00D43E19"/>
    <w:rsid w:val="00D43FEE"/>
    <w:rsid w:val="00D441CD"/>
    <w:rsid w:val="00D4424B"/>
    <w:rsid w:val="00D4426A"/>
    <w:rsid w:val="00D444D7"/>
    <w:rsid w:val="00D445D4"/>
    <w:rsid w:val="00D44765"/>
    <w:rsid w:val="00D447AF"/>
    <w:rsid w:val="00D44973"/>
    <w:rsid w:val="00D44A85"/>
    <w:rsid w:val="00D44AB3"/>
    <w:rsid w:val="00D44C47"/>
    <w:rsid w:val="00D44C94"/>
    <w:rsid w:val="00D44D4E"/>
    <w:rsid w:val="00D44EC5"/>
    <w:rsid w:val="00D45065"/>
    <w:rsid w:val="00D45140"/>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D4"/>
    <w:rsid w:val="00D50ADC"/>
    <w:rsid w:val="00D50B9D"/>
    <w:rsid w:val="00D50BF8"/>
    <w:rsid w:val="00D50C40"/>
    <w:rsid w:val="00D50CD9"/>
    <w:rsid w:val="00D50DEA"/>
    <w:rsid w:val="00D510DD"/>
    <w:rsid w:val="00D5124F"/>
    <w:rsid w:val="00D51453"/>
    <w:rsid w:val="00D51483"/>
    <w:rsid w:val="00D514E9"/>
    <w:rsid w:val="00D51842"/>
    <w:rsid w:val="00D5193A"/>
    <w:rsid w:val="00D51AAF"/>
    <w:rsid w:val="00D51BAD"/>
    <w:rsid w:val="00D51D4E"/>
    <w:rsid w:val="00D51D97"/>
    <w:rsid w:val="00D51DA0"/>
    <w:rsid w:val="00D51DA7"/>
    <w:rsid w:val="00D520B5"/>
    <w:rsid w:val="00D52251"/>
    <w:rsid w:val="00D522F9"/>
    <w:rsid w:val="00D52447"/>
    <w:rsid w:val="00D524BC"/>
    <w:rsid w:val="00D524E6"/>
    <w:rsid w:val="00D52605"/>
    <w:rsid w:val="00D526A6"/>
    <w:rsid w:val="00D5282F"/>
    <w:rsid w:val="00D528AF"/>
    <w:rsid w:val="00D52D6B"/>
    <w:rsid w:val="00D52D7E"/>
    <w:rsid w:val="00D52DEC"/>
    <w:rsid w:val="00D52F8D"/>
    <w:rsid w:val="00D53459"/>
    <w:rsid w:val="00D537BC"/>
    <w:rsid w:val="00D53851"/>
    <w:rsid w:val="00D538EC"/>
    <w:rsid w:val="00D539E0"/>
    <w:rsid w:val="00D539ED"/>
    <w:rsid w:val="00D53A11"/>
    <w:rsid w:val="00D53B73"/>
    <w:rsid w:val="00D53C1D"/>
    <w:rsid w:val="00D53F17"/>
    <w:rsid w:val="00D53F53"/>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F2"/>
    <w:rsid w:val="00D56032"/>
    <w:rsid w:val="00D56049"/>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71"/>
    <w:rsid w:val="00D5740D"/>
    <w:rsid w:val="00D574DC"/>
    <w:rsid w:val="00D576DC"/>
    <w:rsid w:val="00D57DA9"/>
    <w:rsid w:val="00D57FB4"/>
    <w:rsid w:val="00D60051"/>
    <w:rsid w:val="00D60093"/>
    <w:rsid w:val="00D601BC"/>
    <w:rsid w:val="00D6028A"/>
    <w:rsid w:val="00D60380"/>
    <w:rsid w:val="00D60506"/>
    <w:rsid w:val="00D60646"/>
    <w:rsid w:val="00D607B0"/>
    <w:rsid w:val="00D608DF"/>
    <w:rsid w:val="00D608F0"/>
    <w:rsid w:val="00D608F7"/>
    <w:rsid w:val="00D6095A"/>
    <w:rsid w:val="00D609B0"/>
    <w:rsid w:val="00D60DCB"/>
    <w:rsid w:val="00D60E18"/>
    <w:rsid w:val="00D60E2A"/>
    <w:rsid w:val="00D60F33"/>
    <w:rsid w:val="00D6101B"/>
    <w:rsid w:val="00D611C9"/>
    <w:rsid w:val="00D6123C"/>
    <w:rsid w:val="00D61277"/>
    <w:rsid w:val="00D61392"/>
    <w:rsid w:val="00D61399"/>
    <w:rsid w:val="00D61508"/>
    <w:rsid w:val="00D61718"/>
    <w:rsid w:val="00D6175C"/>
    <w:rsid w:val="00D61895"/>
    <w:rsid w:val="00D6190D"/>
    <w:rsid w:val="00D61AA9"/>
    <w:rsid w:val="00D61BAF"/>
    <w:rsid w:val="00D61BE0"/>
    <w:rsid w:val="00D61D53"/>
    <w:rsid w:val="00D61E1B"/>
    <w:rsid w:val="00D6200F"/>
    <w:rsid w:val="00D62128"/>
    <w:rsid w:val="00D62184"/>
    <w:rsid w:val="00D622B5"/>
    <w:rsid w:val="00D62652"/>
    <w:rsid w:val="00D626C0"/>
    <w:rsid w:val="00D6282C"/>
    <w:rsid w:val="00D6283A"/>
    <w:rsid w:val="00D62932"/>
    <w:rsid w:val="00D62958"/>
    <w:rsid w:val="00D629BF"/>
    <w:rsid w:val="00D62B52"/>
    <w:rsid w:val="00D62D05"/>
    <w:rsid w:val="00D62DD3"/>
    <w:rsid w:val="00D62FE3"/>
    <w:rsid w:val="00D6301D"/>
    <w:rsid w:val="00D6304E"/>
    <w:rsid w:val="00D63140"/>
    <w:rsid w:val="00D632C4"/>
    <w:rsid w:val="00D63400"/>
    <w:rsid w:val="00D63679"/>
    <w:rsid w:val="00D63884"/>
    <w:rsid w:val="00D63948"/>
    <w:rsid w:val="00D63ADB"/>
    <w:rsid w:val="00D63AFA"/>
    <w:rsid w:val="00D63B77"/>
    <w:rsid w:val="00D63BD4"/>
    <w:rsid w:val="00D63C03"/>
    <w:rsid w:val="00D63E61"/>
    <w:rsid w:val="00D64244"/>
    <w:rsid w:val="00D6434B"/>
    <w:rsid w:val="00D6436D"/>
    <w:rsid w:val="00D6444F"/>
    <w:rsid w:val="00D6451B"/>
    <w:rsid w:val="00D646D4"/>
    <w:rsid w:val="00D6477E"/>
    <w:rsid w:val="00D647F5"/>
    <w:rsid w:val="00D64E32"/>
    <w:rsid w:val="00D64F54"/>
    <w:rsid w:val="00D64FFA"/>
    <w:rsid w:val="00D6507C"/>
    <w:rsid w:val="00D6508C"/>
    <w:rsid w:val="00D65452"/>
    <w:rsid w:val="00D65520"/>
    <w:rsid w:val="00D65538"/>
    <w:rsid w:val="00D655BD"/>
    <w:rsid w:val="00D65704"/>
    <w:rsid w:val="00D6593A"/>
    <w:rsid w:val="00D65960"/>
    <w:rsid w:val="00D65993"/>
    <w:rsid w:val="00D65C14"/>
    <w:rsid w:val="00D65D37"/>
    <w:rsid w:val="00D65E53"/>
    <w:rsid w:val="00D65E5C"/>
    <w:rsid w:val="00D65F2D"/>
    <w:rsid w:val="00D65FD1"/>
    <w:rsid w:val="00D6610D"/>
    <w:rsid w:val="00D66807"/>
    <w:rsid w:val="00D66907"/>
    <w:rsid w:val="00D6699B"/>
    <w:rsid w:val="00D66A89"/>
    <w:rsid w:val="00D66C4B"/>
    <w:rsid w:val="00D66DD1"/>
    <w:rsid w:val="00D66F05"/>
    <w:rsid w:val="00D6711A"/>
    <w:rsid w:val="00D6724E"/>
    <w:rsid w:val="00D67401"/>
    <w:rsid w:val="00D67442"/>
    <w:rsid w:val="00D67460"/>
    <w:rsid w:val="00D678BD"/>
    <w:rsid w:val="00D67C7D"/>
    <w:rsid w:val="00D67CAB"/>
    <w:rsid w:val="00D67CBA"/>
    <w:rsid w:val="00D67EDA"/>
    <w:rsid w:val="00D67F8C"/>
    <w:rsid w:val="00D7028B"/>
    <w:rsid w:val="00D70550"/>
    <w:rsid w:val="00D705C1"/>
    <w:rsid w:val="00D706B3"/>
    <w:rsid w:val="00D70A45"/>
    <w:rsid w:val="00D70B6C"/>
    <w:rsid w:val="00D70CAF"/>
    <w:rsid w:val="00D70CCA"/>
    <w:rsid w:val="00D710A9"/>
    <w:rsid w:val="00D710D8"/>
    <w:rsid w:val="00D712F4"/>
    <w:rsid w:val="00D713D6"/>
    <w:rsid w:val="00D714A5"/>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BBA"/>
    <w:rsid w:val="00D72CB2"/>
    <w:rsid w:val="00D72E70"/>
    <w:rsid w:val="00D7333C"/>
    <w:rsid w:val="00D73665"/>
    <w:rsid w:val="00D7379F"/>
    <w:rsid w:val="00D737F4"/>
    <w:rsid w:val="00D73BE5"/>
    <w:rsid w:val="00D73CEF"/>
    <w:rsid w:val="00D73F98"/>
    <w:rsid w:val="00D7476C"/>
    <w:rsid w:val="00D747AD"/>
    <w:rsid w:val="00D74A66"/>
    <w:rsid w:val="00D74AD7"/>
    <w:rsid w:val="00D74CA4"/>
    <w:rsid w:val="00D74D39"/>
    <w:rsid w:val="00D74EF2"/>
    <w:rsid w:val="00D75056"/>
    <w:rsid w:val="00D7535F"/>
    <w:rsid w:val="00D75460"/>
    <w:rsid w:val="00D754BA"/>
    <w:rsid w:val="00D7565A"/>
    <w:rsid w:val="00D7579B"/>
    <w:rsid w:val="00D75807"/>
    <w:rsid w:val="00D75DD2"/>
    <w:rsid w:val="00D76185"/>
    <w:rsid w:val="00D7620D"/>
    <w:rsid w:val="00D76283"/>
    <w:rsid w:val="00D762C0"/>
    <w:rsid w:val="00D7653D"/>
    <w:rsid w:val="00D765EF"/>
    <w:rsid w:val="00D7689E"/>
    <w:rsid w:val="00D768CB"/>
    <w:rsid w:val="00D76D2C"/>
    <w:rsid w:val="00D76D48"/>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367"/>
    <w:rsid w:val="00D816AF"/>
    <w:rsid w:val="00D81924"/>
    <w:rsid w:val="00D81A14"/>
    <w:rsid w:val="00D81CEA"/>
    <w:rsid w:val="00D81FC1"/>
    <w:rsid w:val="00D81FF2"/>
    <w:rsid w:val="00D8218C"/>
    <w:rsid w:val="00D8228F"/>
    <w:rsid w:val="00D822E8"/>
    <w:rsid w:val="00D82312"/>
    <w:rsid w:val="00D825D6"/>
    <w:rsid w:val="00D82603"/>
    <w:rsid w:val="00D82731"/>
    <w:rsid w:val="00D82DEA"/>
    <w:rsid w:val="00D82E77"/>
    <w:rsid w:val="00D82EA9"/>
    <w:rsid w:val="00D82EC0"/>
    <w:rsid w:val="00D83015"/>
    <w:rsid w:val="00D83130"/>
    <w:rsid w:val="00D831A1"/>
    <w:rsid w:val="00D831F5"/>
    <w:rsid w:val="00D83362"/>
    <w:rsid w:val="00D833F8"/>
    <w:rsid w:val="00D83756"/>
    <w:rsid w:val="00D83A1B"/>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4AD"/>
    <w:rsid w:val="00D866A3"/>
    <w:rsid w:val="00D86C3C"/>
    <w:rsid w:val="00D86DC1"/>
    <w:rsid w:val="00D86DCA"/>
    <w:rsid w:val="00D86E1C"/>
    <w:rsid w:val="00D86EC6"/>
    <w:rsid w:val="00D870B2"/>
    <w:rsid w:val="00D8724C"/>
    <w:rsid w:val="00D873A6"/>
    <w:rsid w:val="00D873ED"/>
    <w:rsid w:val="00D8748A"/>
    <w:rsid w:val="00D874C5"/>
    <w:rsid w:val="00D874F0"/>
    <w:rsid w:val="00D87601"/>
    <w:rsid w:val="00D878D3"/>
    <w:rsid w:val="00D87919"/>
    <w:rsid w:val="00D87B2E"/>
    <w:rsid w:val="00D87B3F"/>
    <w:rsid w:val="00D87B75"/>
    <w:rsid w:val="00D87CF5"/>
    <w:rsid w:val="00D87E9A"/>
    <w:rsid w:val="00D900A8"/>
    <w:rsid w:val="00D9012B"/>
    <w:rsid w:val="00D905F9"/>
    <w:rsid w:val="00D90750"/>
    <w:rsid w:val="00D9088C"/>
    <w:rsid w:val="00D90905"/>
    <w:rsid w:val="00D9096E"/>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200F"/>
    <w:rsid w:val="00D922E1"/>
    <w:rsid w:val="00D9253C"/>
    <w:rsid w:val="00D9256F"/>
    <w:rsid w:val="00D92652"/>
    <w:rsid w:val="00D9273B"/>
    <w:rsid w:val="00D92A02"/>
    <w:rsid w:val="00D92C31"/>
    <w:rsid w:val="00D92DCE"/>
    <w:rsid w:val="00D92EE9"/>
    <w:rsid w:val="00D92F2E"/>
    <w:rsid w:val="00D92F74"/>
    <w:rsid w:val="00D930B4"/>
    <w:rsid w:val="00D932B7"/>
    <w:rsid w:val="00D93681"/>
    <w:rsid w:val="00D936B9"/>
    <w:rsid w:val="00D9383B"/>
    <w:rsid w:val="00D93910"/>
    <w:rsid w:val="00D93B3A"/>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A00B4"/>
    <w:rsid w:val="00DA054A"/>
    <w:rsid w:val="00DA05B1"/>
    <w:rsid w:val="00DA05E2"/>
    <w:rsid w:val="00DA069E"/>
    <w:rsid w:val="00DA0760"/>
    <w:rsid w:val="00DA0A13"/>
    <w:rsid w:val="00DA0A1E"/>
    <w:rsid w:val="00DA0C49"/>
    <w:rsid w:val="00DA0CD2"/>
    <w:rsid w:val="00DA0FA4"/>
    <w:rsid w:val="00DA109F"/>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FF4"/>
    <w:rsid w:val="00DA30C6"/>
    <w:rsid w:val="00DA3199"/>
    <w:rsid w:val="00DA3243"/>
    <w:rsid w:val="00DA329F"/>
    <w:rsid w:val="00DA3336"/>
    <w:rsid w:val="00DA35E5"/>
    <w:rsid w:val="00DA382E"/>
    <w:rsid w:val="00DA38A4"/>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7B"/>
    <w:rsid w:val="00DA4DA1"/>
    <w:rsid w:val="00DA4F01"/>
    <w:rsid w:val="00DA5075"/>
    <w:rsid w:val="00DA5104"/>
    <w:rsid w:val="00DA529E"/>
    <w:rsid w:val="00DA5348"/>
    <w:rsid w:val="00DA5723"/>
    <w:rsid w:val="00DA583F"/>
    <w:rsid w:val="00DA58E2"/>
    <w:rsid w:val="00DA5B7D"/>
    <w:rsid w:val="00DA5BE8"/>
    <w:rsid w:val="00DA5C39"/>
    <w:rsid w:val="00DA5DCF"/>
    <w:rsid w:val="00DA5DEA"/>
    <w:rsid w:val="00DA5E6A"/>
    <w:rsid w:val="00DA5F0F"/>
    <w:rsid w:val="00DA60A7"/>
    <w:rsid w:val="00DA634F"/>
    <w:rsid w:val="00DA675E"/>
    <w:rsid w:val="00DA6774"/>
    <w:rsid w:val="00DA6A8B"/>
    <w:rsid w:val="00DA6C6E"/>
    <w:rsid w:val="00DA6F61"/>
    <w:rsid w:val="00DA7299"/>
    <w:rsid w:val="00DA7318"/>
    <w:rsid w:val="00DA759F"/>
    <w:rsid w:val="00DA7905"/>
    <w:rsid w:val="00DA79A6"/>
    <w:rsid w:val="00DA7A77"/>
    <w:rsid w:val="00DA7CF7"/>
    <w:rsid w:val="00DA7E2A"/>
    <w:rsid w:val="00DA7EB8"/>
    <w:rsid w:val="00DA7F17"/>
    <w:rsid w:val="00DB0033"/>
    <w:rsid w:val="00DB005B"/>
    <w:rsid w:val="00DB0076"/>
    <w:rsid w:val="00DB01B2"/>
    <w:rsid w:val="00DB0445"/>
    <w:rsid w:val="00DB04EA"/>
    <w:rsid w:val="00DB0673"/>
    <w:rsid w:val="00DB085B"/>
    <w:rsid w:val="00DB0938"/>
    <w:rsid w:val="00DB0999"/>
    <w:rsid w:val="00DB09B0"/>
    <w:rsid w:val="00DB0D46"/>
    <w:rsid w:val="00DB0F43"/>
    <w:rsid w:val="00DB0F5B"/>
    <w:rsid w:val="00DB0F8C"/>
    <w:rsid w:val="00DB103A"/>
    <w:rsid w:val="00DB110C"/>
    <w:rsid w:val="00DB1189"/>
    <w:rsid w:val="00DB13CC"/>
    <w:rsid w:val="00DB1540"/>
    <w:rsid w:val="00DB15BC"/>
    <w:rsid w:val="00DB1779"/>
    <w:rsid w:val="00DB19BF"/>
    <w:rsid w:val="00DB1B2E"/>
    <w:rsid w:val="00DB1DBE"/>
    <w:rsid w:val="00DB1F1C"/>
    <w:rsid w:val="00DB2003"/>
    <w:rsid w:val="00DB21F2"/>
    <w:rsid w:val="00DB23B8"/>
    <w:rsid w:val="00DB2554"/>
    <w:rsid w:val="00DB2C67"/>
    <w:rsid w:val="00DB2FB7"/>
    <w:rsid w:val="00DB31EE"/>
    <w:rsid w:val="00DB3A14"/>
    <w:rsid w:val="00DB3C4E"/>
    <w:rsid w:val="00DB3D2A"/>
    <w:rsid w:val="00DB3F03"/>
    <w:rsid w:val="00DB3F36"/>
    <w:rsid w:val="00DB4164"/>
    <w:rsid w:val="00DB42A8"/>
    <w:rsid w:val="00DB45A9"/>
    <w:rsid w:val="00DB4679"/>
    <w:rsid w:val="00DB4834"/>
    <w:rsid w:val="00DB4968"/>
    <w:rsid w:val="00DB4A1A"/>
    <w:rsid w:val="00DB4A99"/>
    <w:rsid w:val="00DB4B19"/>
    <w:rsid w:val="00DB4BFF"/>
    <w:rsid w:val="00DB4C02"/>
    <w:rsid w:val="00DB4F4B"/>
    <w:rsid w:val="00DB4FEA"/>
    <w:rsid w:val="00DB51DC"/>
    <w:rsid w:val="00DB554B"/>
    <w:rsid w:val="00DB5563"/>
    <w:rsid w:val="00DB5745"/>
    <w:rsid w:val="00DB57B3"/>
    <w:rsid w:val="00DB57C4"/>
    <w:rsid w:val="00DB5B0C"/>
    <w:rsid w:val="00DB5B84"/>
    <w:rsid w:val="00DB5C0E"/>
    <w:rsid w:val="00DB5F33"/>
    <w:rsid w:val="00DB5FC4"/>
    <w:rsid w:val="00DB608B"/>
    <w:rsid w:val="00DB6203"/>
    <w:rsid w:val="00DB6606"/>
    <w:rsid w:val="00DB67F3"/>
    <w:rsid w:val="00DB69BA"/>
    <w:rsid w:val="00DB6F19"/>
    <w:rsid w:val="00DB6F4E"/>
    <w:rsid w:val="00DB6FD9"/>
    <w:rsid w:val="00DB7001"/>
    <w:rsid w:val="00DB7040"/>
    <w:rsid w:val="00DB7058"/>
    <w:rsid w:val="00DB708B"/>
    <w:rsid w:val="00DB70A6"/>
    <w:rsid w:val="00DB7177"/>
    <w:rsid w:val="00DB72D4"/>
    <w:rsid w:val="00DB75B4"/>
    <w:rsid w:val="00DB7775"/>
    <w:rsid w:val="00DB7865"/>
    <w:rsid w:val="00DB78ED"/>
    <w:rsid w:val="00DB79AA"/>
    <w:rsid w:val="00DB7BF1"/>
    <w:rsid w:val="00DB7C19"/>
    <w:rsid w:val="00DB7EFE"/>
    <w:rsid w:val="00DC0130"/>
    <w:rsid w:val="00DC0432"/>
    <w:rsid w:val="00DC09B9"/>
    <w:rsid w:val="00DC0BE6"/>
    <w:rsid w:val="00DC0D9F"/>
    <w:rsid w:val="00DC0DFF"/>
    <w:rsid w:val="00DC102F"/>
    <w:rsid w:val="00DC10BE"/>
    <w:rsid w:val="00DC1280"/>
    <w:rsid w:val="00DC14C9"/>
    <w:rsid w:val="00DC1568"/>
    <w:rsid w:val="00DC1580"/>
    <w:rsid w:val="00DC162F"/>
    <w:rsid w:val="00DC1B8A"/>
    <w:rsid w:val="00DC1D79"/>
    <w:rsid w:val="00DC1E9E"/>
    <w:rsid w:val="00DC1F10"/>
    <w:rsid w:val="00DC20CF"/>
    <w:rsid w:val="00DC224B"/>
    <w:rsid w:val="00DC22A2"/>
    <w:rsid w:val="00DC2624"/>
    <w:rsid w:val="00DC2C64"/>
    <w:rsid w:val="00DC2D29"/>
    <w:rsid w:val="00DC2E18"/>
    <w:rsid w:val="00DC2FD4"/>
    <w:rsid w:val="00DC304B"/>
    <w:rsid w:val="00DC30BB"/>
    <w:rsid w:val="00DC31B2"/>
    <w:rsid w:val="00DC31FD"/>
    <w:rsid w:val="00DC3276"/>
    <w:rsid w:val="00DC341B"/>
    <w:rsid w:val="00DC34AA"/>
    <w:rsid w:val="00DC37FB"/>
    <w:rsid w:val="00DC3920"/>
    <w:rsid w:val="00DC3A9B"/>
    <w:rsid w:val="00DC3C5E"/>
    <w:rsid w:val="00DC4027"/>
    <w:rsid w:val="00DC40C9"/>
    <w:rsid w:val="00DC4274"/>
    <w:rsid w:val="00DC45D2"/>
    <w:rsid w:val="00DC4629"/>
    <w:rsid w:val="00DC486A"/>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E1"/>
    <w:rsid w:val="00DD208E"/>
    <w:rsid w:val="00DD227F"/>
    <w:rsid w:val="00DD22D8"/>
    <w:rsid w:val="00DD2316"/>
    <w:rsid w:val="00DD23C5"/>
    <w:rsid w:val="00DD23C6"/>
    <w:rsid w:val="00DD23C7"/>
    <w:rsid w:val="00DD24E3"/>
    <w:rsid w:val="00DD267F"/>
    <w:rsid w:val="00DD26DF"/>
    <w:rsid w:val="00DD27C8"/>
    <w:rsid w:val="00DD28CF"/>
    <w:rsid w:val="00DD2A42"/>
    <w:rsid w:val="00DD2A77"/>
    <w:rsid w:val="00DD2DA8"/>
    <w:rsid w:val="00DD2EC6"/>
    <w:rsid w:val="00DD30AF"/>
    <w:rsid w:val="00DD317C"/>
    <w:rsid w:val="00DD333E"/>
    <w:rsid w:val="00DD3620"/>
    <w:rsid w:val="00DD36E4"/>
    <w:rsid w:val="00DD3752"/>
    <w:rsid w:val="00DD39CD"/>
    <w:rsid w:val="00DD3A10"/>
    <w:rsid w:val="00DD3D08"/>
    <w:rsid w:val="00DD411A"/>
    <w:rsid w:val="00DD4129"/>
    <w:rsid w:val="00DD425B"/>
    <w:rsid w:val="00DD42AC"/>
    <w:rsid w:val="00DD49F9"/>
    <w:rsid w:val="00DD4A67"/>
    <w:rsid w:val="00DD4AB1"/>
    <w:rsid w:val="00DD4B07"/>
    <w:rsid w:val="00DD4CBA"/>
    <w:rsid w:val="00DD4CEC"/>
    <w:rsid w:val="00DD4DD2"/>
    <w:rsid w:val="00DD4E12"/>
    <w:rsid w:val="00DD5275"/>
    <w:rsid w:val="00DD5612"/>
    <w:rsid w:val="00DD5760"/>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910"/>
    <w:rsid w:val="00DD69D9"/>
    <w:rsid w:val="00DD7038"/>
    <w:rsid w:val="00DD7077"/>
    <w:rsid w:val="00DD7202"/>
    <w:rsid w:val="00DD721A"/>
    <w:rsid w:val="00DD72A8"/>
    <w:rsid w:val="00DD73BD"/>
    <w:rsid w:val="00DD74A4"/>
    <w:rsid w:val="00DD772F"/>
    <w:rsid w:val="00DD774A"/>
    <w:rsid w:val="00DD7AE5"/>
    <w:rsid w:val="00DD7B1A"/>
    <w:rsid w:val="00DD7D5D"/>
    <w:rsid w:val="00DD7D7B"/>
    <w:rsid w:val="00DD7DD1"/>
    <w:rsid w:val="00DD7E7F"/>
    <w:rsid w:val="00DD7F17"/>
    <w:rsid w:val="00DE0011"/>
    <w:rsid w:val="00DE010F"/>
    <w:rsid w:val="00DE02EB"/>
    <w:rsid w:val="00DE04ED"/>
    <w:rsid w:val="00DE07D2"/>
    <w:rsid w:val="00DE07F0"/>
    <w:rsid w:val="00DE0853"/>
    <w:rsid w:val="00DE0880"/>
    <w:rsid w:val="00DE0947"/>
    <w:rsid w:val="00DE0C4B"/>
    <w:rsid w:val="00DE0CC9"/>
    <w:rsid w:val="00DE0E79"/>
    <w:rsid w:val="00DE0E91"/>
    <w:rsid w:val="00DE1059"/>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9"/>
    <w:rsid w:val="00DE2A31"/>
    <w:rsid w:val="00DE2C4D"/>
    <w:rsid w:val="00DE2CD3"/>
    <w:rsid w:val="00DE2E06"/>
    <w:rsid w:val="00DE2E68"/>
    <w:rsid w:val="00DE2E8A"/>
    <w:rsid w:val="00DE3001"/>
    <w:rsid w:val="00DE300D"/>
    <w:rsid w:val="00DE3544"/>
    <w:rsid w:val="00DE3A26"/>
    <w:rsid w:val="00DE3D2F"/>
    <w:rsid w:val="00DE3FA6"/>
    <w:rsid w:val="00DE42DB"/>
    <w:rsid w:val="00DE4402"/>
    <w:rsid w:val="00DE4499"/>
    <w:rsid w:val="00DE4677"/>
    <w:rsid w:val="00DE46C9"/>
    <w:rsid w:val="00DE4722"/>
    <w:rsid w:val="00DE47FC"/>
    <w:rsid w:val="00DE486B"/>
    <w:rsid w:val="00DE4968"/>
    <w:rsid w:val="00DE4BFA"/>
    <w:rsid w:val="00DE4C84"/>
    <w:rsid w:val="00DE4EFB"/>
    <w:rsid w:val="00DE5059"/>
    <w:rsid w:val="00DE53C3"/>
    <w:rsid w:val="00DE5480"/>
    <w:rsid w:val="00DE5601"/>
    <w:rsid w:val="00DE577A"/>
    <w:rsid w:val="00DE5959"/>
    <w:rsid w:val="00DE596B"/>
    <w:rsid w:val="00DE5A82"/>
    <w:rsid w:val="00DE5EF9"/>
    <w:rsid w:val="00DE5FE9"/>
    <w:rsid w:val="00DE5FF8"/>
    <w:rsid w:val="00DE641B"/>
    <w:rsid w:val="00DE64DD"/>
    <w:rsid w:val="00DE6560"/>
    <w:rsid w:val="00DE6590"/>
    <w:rsid w:val="00DE65D6"/>
    <w:rsid w:val="00DE66DD"/>
    <w:rsid w:val="00DE686F"/>
    <w:rsid w:val="00DE6885"/>
    <w:rsid w:val="00DE6A3D"/>
    <w:rsid w:val="00DE6A97"/>
    <w:rsid w:val="00DE6F2A"/>
    <w:rsid w:val="00DE709A"/>
    <w:rsid w:val="00DE724C"/>
    <w:rsid w:val="00DE72D7"/>
    <w:rsid w:val="00DE7359"/>
    <w:rsid w:val="00DE74A9"/>
    <w:rsid w:val="00DE74BA"/>
    <w:rsid w:val="00DE7537"/>
    <w:rsid w:val="00DE7A92"/>
    <w:rsid w:val="00DE7B61"/>
    <w:rsid w:val="00DE7C16"/>
    <w:rsid w:val="00DE7DE3"/>
    <w:rsid w:val="00DF005A"/>
    <w:rsid w:val="00DF0340"/>
    <w:rsid w:val="00DF0502"/>
    <w:rsid w:val="00DF061A"/>
    <w:rsid w:val="00DF0B98"/>
    <w:rsid w:val="00DF0BB2"/>
    <w:rsid w:val="00DF0CDF"/>
    <w:rsid w:val="00DF0D49"/>
    <w:rsid w:val="00DF10A3"/>
    <w:rsid w:val="00DF13FD"/>
    <w:rsid w:val="00DF1465"/>
    <w:rsid w:val="00DF1575"/>
    <w:rsid w:val="00DF18D9"/>
    <w:rsid w:val="00DF1903"/>
    <w:rsid w:val="00DF1BB2"/>
    <w:rsid w:val="00DF1D0B"/>
    <w:rsid w:val="00DF1E71"/>
    <w:rsid w:val="00DF2127"/>
    <w:rsid w:val="00DF21D5"/>
    <w:rsid w:val="00DF28F8"/>
    <w:rsid w:val="00DF2BD1"/>
    <w:rsid w:val="00DF2C0A"/>
    <w:rsid w:val="00DF2CEC"/>
    <w:rsid w:val="00DF2D96"/>
    <w:rsid w:val="00DF2DAF"/>
    <w:rsid w:val="00DF2E41"/>
    <w:rsid w:val="00DF30A0"/>
    <w:rsid w:val="00DF3285"/>
    <w:rsid w:val="00DF32DA"/>
    <w:rsid w:val="00DF341A"/>
    <w:rsid w:val="00DF3471"/>
    <w:rsid w:val="00DF3534"/>
    <w:rsid w:val="00DF35C0"/>
    <w:rsid w:val="00DF362C"/>
    <w:rsid w:val="00DF3891"/>
    <w:rsid w:val="00DF4099"/>
    <w:rsid w:val="00DF4163"/>
    <w:rsid w:val="00DF4288"/>
    <w:rsid w:val="00DF42EF"/>
    <w:rsid w:val="00DF447B"/>
    <w:rsid w:val="00DF47CA"/>
    <w:rsid w:val="00DF47E8"/>
    <w:rsid w:val="00DF4AE0"/>
    <w:rsid w:val="00DF4DAE"/>
    <w:rsid w:val="00DF4EE7"/>
    <w:rsid w:val="00DF517D"/>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6FCE"/>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801"/>
    <w:rsid w:val="00E009CD"/>
    <w:rsid w:val="00E009E1"/>
    <w:rsid w:val="00E00AA2"/>
    <w:rsid w:val="00E00B0F"/>
    <w:rsid w:val="00E00BBD"/>
    <w:rsid w:val="00E00D1D"/>
    <w:rsid w:val="00E00D38"/>
    <w:rsid w:val="00E00DAB"/>
    <w:rsid w:val="00E00ECF"/>
    <w:rsid w:val="00E00F52"/>
    <w:rsid w:val="00E0104B"/>
    <w:rsid w:val="00E012D8"/>
    <w:rsid w:val="00E012F4"/>
    <w:rsid w:val="00E0174A"/>
    <w:rsid w:val="00E01DF2"/>
    <w:rsid w:val="00E01FEA"/>
    <w:rsid w:val="00E02271"/>
    <w:rsid w:val="00E022C5"/>
    <w:rsid w:val="00E022D9"/>
    <w:rsid w:val="00E02376"/>
    <w:rsid w:val="00E0241E"/>
    <w:rsid w:val="00E0267A"/>
    <w:rsid w:val="00E02DF0"/>
    <w:rsid w:val="00E02F0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665"/>
    <w:rsid w:val="00E04917"/>
    <w:rsid w:val="00E04A32"/>
    <w:rsid w:val="00E04ADC"/>
    <w:rsid w:val="00E04AE6"/>
    <w:rsid w:val="00E04C77"/>
    <w:rsid w:val="00E04E36"/>
    <w:rsid w:val="00E04E75"/>
    <w:rsid w:val="00E0509B"/>
    <w:rsid w:val="00E0512F"/>
    <w:rsid w:val="00E052A2"/>
    <w:rsid w:val="00E05397"/>
    <w:rsid w:val="00E054BC"/>
    <w:rsid w:val="00E05B8C"/>
    <w:rsid w:val="00E05D0D"/>
    <w:rsid w:val="00E05DE4"/>
    <w:rsid w:val="00E05E53"/>
    <w:rsid w:val="00E05E67"/>
    <w:rsid w:val="00E05FFF"/>
    <w:rsid w:val="00E0613F"/>
    <w:rsid w:val="00E0639A"/>
    <w:rsid w:val="00E065F3"/>
    <w:rsid w:val="00E06603"/>
    <w:rsid w:val="00E06D78"/>
    <w:rsid w:val="00E06E30"/>
    <w:rsid w:val="00E06F8E"/>
    <w:rsid w:val="00E07169"/>
    <w:rsid w:val="00E07244"/>
    <w:rsid w:val="00E0724A"/>
    <w:rsid w:val="00E0726E"/>
    <w:rsid w:val="00E07271"/>
    <w:rsid w:val="00E072D8"/>
    <w:rsid w:val="00E075F5"/>
    <w:rsid w:val="00E076F1"/>
    <w:rsid w:val="00E07913"/>
    <w:rsid w:val="00E07AF5"/>
    <w:rsid w:val="00E07D12"/>
    <w:rsid w:val="00E07E2D"/>
    <w:rsid w:val="00E07F0E"/>
    <w:rsid w:val="00E10351"/>
    <w:rsid w:val="00E10703"/>
    <w:rsid w:val="00E108C0"/>
    <w:rsid w:val="00E109F4"/>
    <w:rsid w:val="00E10C62"/>
    <w:rsid w:val="00E10E24"/>
    <w:rsid w:val="00E10FA8"/>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D4D"/>
    <w:rsid w:val="00E12F21"/>
    <w:rsid w:val="00E12FD9"/>
    <w:rsid w:val="00E131F9"/>
    <w:rsid w:val="00E1322A"/>
    <w:rsid w:val="00E1330B"/>
    <w:rsid w:val="00E1355F"/>
    <w:rsid w:val="00E135F4"/>
    <w:rsid w:val="00E1381B"/>
    <w:rsid w:val="00E13A76"/>
    <w:rsid w:val="00E13AEB"/>
    <w:rsid w:val="00E13B19"/>
    <w:rsid w:val="00E13B4F"/>
    <w:rsid w:val="00E13C51"/>
    <w:rsid w:val="00E13F3F"/>
    <w:rsid w:val="00E13FAF"/>
    <w:rsid w:val="00E1430C"/>
    <w:rsid w:val="00E143E7"/>
    <w:rsid w:val="00E1456F"/>
    <w:rsid w:val="00E1479E"/>
    <w:rsid w:val="00E14824"/>
    <w:rsid w:val="00E1484A"/>
    <w:rsid w:val="00E14C4C"/>
    <w:rsid w:val="00E14D7B"/>
    <w:rsid w:val="00E14E60"/>
    <w:rsid w:val="00E14F5D"/>
    <w:rsid w:val="00E150AD"/>
    <w:rsid w:val="00E150EF"/>
    <w:rsid w:val="00E153AE"/>
    <w:rsid w:val="00E1543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D30"/>
    <w:rsid w:val="00E16E0F"/>
    <w:rsid w:val="00E16EF6"/>
    <w:rsid w:val="00E1702B"/>
    <w:rsid w:val="00E17059"/>
    <w:rsid w:val="00E1707A"/>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91B"/>
    <w:rsid w:val="00E219BF"/>
    <w:rsid w:val="00E21AB0"/>
    <w:rsid w:val="00E21B24"/>
    <w:rsid w:val="00E21EDF"/>
    <w:rsid w:val="00E21F77"/>
    <w:rsid w:val="00E22003"/>
    <w:rsid w:val="00E2213A"/>
    <w:rsid w:val="00E22304"/>
    <w:rsid w:val="00E225E9"/>
    <w:rsid w:val="00E22795"/>
    <w:rsid w:val="00E22797"/>
    <w:rsid w:val="00E2279D"/>
    <w:rsid w:val="00E228B5"/>
    <w:rsid w:val="00E228BA"/>
    <w:rsid w:val="00E229FD"/>
    <w:rsid w:val="00E22A6E"/>
    <w:rsid w:val="00E22C35"/>
    <w:rsid w:val="00E22CB6"/>
    <w:rsid w:val="00E22D30"/>
    <w:rsid w:val="00E22DC7"/>
    <w:rsid w:val="00E22EA2"/>
    <w:rsid w:val="00E22F7B"/>
    <w:rsid w:val="00E22F97"/>
    <w:rsid w:val="00E232EF"/>
    <w:rsid w:val="00E235FD"/>
    <w:rsid w:val="00E236BA"/>
    <w:rsid w:val="00E2393E"/>
    <w:rsid w:val="00E23DE6"/>
    <w:rsid w:val="00E23F4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B4"/>
    <w:rsid w:val="00E26AE2"/>
    <w:rsid w:val="00E26C50"/>
    <w:rsid w:val="00E26EF8"/>
    <w:rsid w:val="00E27101"/>
    <w:rsid w:val="00E27129"/>
    <w:rsid w:val="00E273F1"/>
    <w:rsid w:val="00E2771F"/>
    <w:rsid w:val="00E27C7F"/>
    <w:rsid w:val="00E27CD7"/>
    <w:rsid w:val="00E300AE"/>
    <w:rsid w:val="00E3030D"/>
    <w:rsid w:val="00E306C9"/>
    <w:rsid w:val="00E3077B"/>
    <w:rsid w:val="00E30876"/>
    <w:rsid w:val="00E308C8"/>
    <w:rsid w:val="00E30976"/>
    <w:rsid w:val="00E309DA"/>
    <w:rsid w:val="00E30C88"/>
    <w:rsid w:val="00E30D64"/>
    <w:rsid w:val="00E30E78"/>
    <w:rsid w:val="00E30F33"/>
    <w:rsid w:val="00E30FF7"/>
    <w:rsid w:val="00E31037"/>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6FC"/>
    <w:rsid w:val="00E337E8"/>
    <w:rsid w:val="00E33965"/>
    <w:rsid w:val="00E33A9F"/>
    <w:rsid w:val="00E33ACF"/>
    <w:rsid w:val="00E33D0F"/>
    <w:rsid w:val="00E33D3D"/>
    <w:rsid w:val="00E33D4D"/>
    <w:rsid w:val="00E33F73"/>
    <w:rsid w:val="00E34049"/>
    <w:rsid w:val="00E340BB"/>
    <w:rsid w:val="00E34217"/>
    <w:rsid w:val="00E34266"/>
    <w:rsid w:val="00E34288"/>
    <w:rsid w:val="00E34452"/>
    <w:rsid w:val="00E34520"/>
    <w:rsid w:val="00E346EB"/>
    <w:rsid w:val="00E34CF0"/>
    <w:rsid w:val="00E34D1E"/>
    <w:rsid w:val="00E35340"/>
    <w:rsid w:val="00E35424"/>
    <w:rsid w:val="00E355C3"/>
    <w:rsid w:val="00E35C1C"/>
    <w:rsid w:val="00E36008"/>
    <w:rsid w:val="00E3631C"/>
    <w:rsid w:val="00E363B3"/>
    <w:rsid w:val="00E36559"/>
    <w:rsid w:val="00E36D0F"/>
    <w:rsid w:val="00E36D75"/>
    <w:rsid w:val="00E36EA8"/>
    <w:rsid w:val="00E37073"/>
    <w:rsid w:val="00E37223"/>
    <w:rsid w:val="00E3730D"/>
    <w:rsid w:val="00E37325"/>
    <w:rsid w:val="00E3772C"/>
    <w:rsid w:val="00E3793A"/>
    <w:rsid w:val="00E37948"/>
    <w:rsid w:val="00E379D7"/>
    <w:rsid w:val="00E37A19"/>
    <w:rsid w:val="00E37A95"/>
    <w:rsid w:val="00E37AE4"/>
    <w:rsid w:val="00E37BA9"/>
    <w:rsid w:val="00E37F64"/>
    <w:rsid w:val="00E37F79"/>
    <w:rsid w:val="00E37FBA"/>
    <w:rsid w:val="00E400D5"/>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352"/>
    <w:rsid w:val="00E4337E"/>
    <w:rsid w:val="00E4355C"/>
    <w:rsid w:val="00E4360C"/>
    <w:rsid w:val="00E437B8"/>
    <w:rsid w:val="00E438A6"/>
    <w:rsid w:val="00E439E5"/>
    <w:rsid w:val="00E43C11"/>
    <w:rsid w:val="00E43DDA"/>
    <w:rsid w:val="00E43E1C"/>
    <w:rsid w:val="00E44199"/>
    <w:rsid w:val="00E442B8"/>
    <w:rsid w:val="00E443EF"/>
    <w:rsid w:val="00E4446D"/>
    <w:rsid w:val="00E4450F"/>
    <w:rsid w:val="00E4454D"/>
    <w:rsid w:val="00E44633"/>
    <w:rsid w:val="00E44657"/>
    <w:rsid w:val="00E4474C"/>
    <w:rsid w:val="00E447FF"/>
    <w:rsid w:val="00E44BE8"/>
    <w:rsid w:val="00E44C8B"/>
    <w:rsid w:val="00E44CB0"/>
    <w:rsid w:val="00E44DF5"/>
    <w:rsid w:val="00E44E42"/>
    <w:rsid w:val="00E4503E"/>
    <w:rsid w:val="00E45252"/>
    <w:rsid w:val="00E452FD"/>
    <w:rsid w:val="00E453FF"/>
    <w:rsid w:val="00E45419"/>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3E5"/>
    <w:rsid w:val="00E478C5"/>
    <w:rsid w:val="00E479D3"/>
    <w:rsid w:val="00E479D8"/>
    <w:rsid w:val="00E47C6D"/>
    <w:rsid w:val="00E47D01"/>
    <w:rsid w:val="00E47D5D"/>
    <w:rsid w:val="00E47E4E"/>
    <w:rsid w:val="00E47E5E"/>
    <w:rsid w:val="00E50092"/>
    <w:rsid w:val="00E501FB"/>
    <w:rsid w:val="00E50258"/>
    <w:rsid w:val="00E502CF"/>
    <w:rsid w:val="00E50325"/>
    <w:rsid w:val="00E50407"/>
    <w:rsid w:val="00E505AC"/>
    <w:rsid w:val="00E50669"/>
    <w:rsid w:val="00E50726"/>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BE5"/>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918"/>
    <w:rsid w:val="00E53A9E"/>
    <w:rsid w:val="00E53BDB"/>
    <w:rsid w:val="00E53EA2"/>
    <w:rsid w:val="00E540CC"/>
    <w:rsid w:val="00E54203"/>
    <w:rsid w:val="00E543DF"/>
    <w:rsid w:val="00E5442D"/>
    <w:rsid w:val="00E544E7"/>
    <w:rsid w:val="00E54673"/>
    <w:rsid w:val="00E54705"/>
    <w:rsid w:val="00E54770"/>
    <w:rsid w:val="00E548E4"/>
    <w:rsid w:val="00E549DA"/>
    <w:rsid w:val="00E54CA0"/>
    <w:rsid w:val="00E54D06"/>
    <w:rsid w:val="00E54D07"/>
    <w:rsid w:val="00E54D12"/>
    <w:rsid w:val="00E54D39"/>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3BC"/>
    <w:rsid w:val="00E5656B"/>
    <w:rsid w:val="00E56A29"/>
    <w:rsid w:val="00E56B60"/>
    <w:rsid w:val="00E56FBD"/>
    <w:rsid w:val="00E57076"/>
    <w:rsid w:val="00E570FC"/>
    <w:rsid w:val="00E5721C"/>
    <w:rsid w:val="00E5738D"/>
    <w:rsid w:val="00E573EF"/>
    <w:rsid w:val="00E576CA"/>
    <w:rsid w:val="00E577AE"/>
    <w:rsid w:val="00E57824"/>
    <w:rsid w:val="00E578E8"/>
    <w:rsid w:val="00E57A25"/>
    <w:rsid w:val="00E57C47"/>
    <w:rsid w:val="00E57CBA"/>
    <w:rsid w:val="00E57CE6"/>
    <w:rsid w:val="00E57D98"/>
    <w:rsid w:val="00E57FEE"/>
    <w:rsid w:val="00E6020F"/>
    <w:rsid w:val="00E60516"/>
    <w:rsid w:val="00E605F7"/>
    <w:rsid w:val="00E605FE"/>
    <w:rsid w:val="00E60627"/>
    <w:rsid w:val="00E6062C"/>
    <w:rsid w:val="00E60A16"/>
    <w:rsid w:val="00E60BB8"/>
    <w:rsid w:val="00E60C74"/>
    <w:rsid w:val="00E60EC7"/>
    <w:rsid w:val="00E60F1F"/>
    <w:rsid w:val="00E61069"/>
    <w:rsid w:val="00E6106E"/>
    <w:rsid w:val="00E61118"/>
    <w:rsid w:val="00E61457"/>
    <w:rsid w:val="00E616CB"/>
    <w:rsid w:val="00E617B8"/>
    <w:rsid w:val="00E61851"/>
    <w:rsid w:val="00E61D5B"/>
    <w:rsid w:val="00E61EB1"/>
    <w:rsid w:val="00E620DA"/>
    <w:rsid w:val="00E6221E"/>
    <w:rsid w:val="00E6223E"/>
    <w:rsid w:val="00E62439"/>
    <w:rsid w:val="00E62488"/>
    <w:rsid w:val="00E624BE"/>
    <w:rsid w:val="00E624E3"/>
    <w:rsid w:val="00E625BD"/>
    <w:rsid w:val="00E625F1"/>
    <w:rsid w:val="00E627D7"/>
    <w:rsid w:val="00E627F3"/>
    <w:rsid w:val="00E62BFD"/>
    <w:rsid w:val="00E62C09"/>
    <w:rsid w:val="00E62CBF"/>
    <w:rsid w:val="00E62E2A"/>
    <w:rsid w:val="00E62E87"/>
    <w:rsid w:val="00E62F2A"/>
    <w:rsid w:val="00E631E9"/>
    <w:rsid w:val="00E63584"/>
    <w:rsid w:val="00E635C4"/>
    <w:rsid w:val="00E63633"/>
    <w:rsid w:val="00E637AE"/>
    <w:rsid w:val="00E6385F"/>
    <w:rsid w:val="00E63EDF"/>
    <w:rsid w:val="00E63F03"/>
    <w:rsid w:val="00E6401D"/>
    <w:rsid w:val="00E641D3"/>
    <w:rsid w:val="00E64457"/>
    <w:rsid w:val="00E64491"/>
    <w:rsid w:val="00E644FF"/>
    <w:rsid w:val="00E6452D"/>
    <w:rsid w:val="00E64557"/>
    <w:rsid w:val="00E64772"/>
    <w:rsid w:val="00E6477D"/>
    <w:rsid w:val="00E648B9"/>
    <w:rsid w:val="00E64AA6"/>
    <w:rsid w:val="00E64CCC"/>
    <w:rsid w:val="00E64E70"/>
    <w:rsid w:val="00E64F88"/>
    <w:rsid w:val="00E652EC"/>
    <w:rsid w:val="00E652F1"/>
    <w:rsid w:val="00E6536C"/>
    <w:rsid w:val="00E65550"/>
    <w:rsid w:val="00E6563B"/>
    <w:rsid w:val="00E65897"/>
    <w:rsid w:val="00E65B80"/>
    <w:rsid w:val="00E65F50"/>
    <w:rsid w:val="00E65FCE"/>
    <w:rsid w:val="00E65FE0"/>
    <w:rsid w:val="00E6637E"/>
    <w:rsid w:val="00E66459"/>
    <w:rsid w:val="00E664CA"/>
    <w:rsid w:val="00E66679"/>
    <w:rsid w:val="00E66754"/>
    <w:rsid w:val="00E6679B"/>
    <w:rsid w:val="00E66887"/>
    <w:rsid w:val="00E66939"/>
    <w:rsid w:val="00E66A28"/>
    <w:rsid w:val="00E66ADD"/>
    <w:rsid w:val="00E66B53"/>
    <w:rsid w:val="00E66C49"/>
    <w:rsid w:val="00E672EA"/>
    <w:rsid w:val="00E6741A"/>
    <w:rsid w:val="00E67460"/>
    <w:rsid w:val="00E6772A"/>
    <w:rsid w:val="00E677EC"/>
    <w:rsid w:val="00E678E3"/>
    <w:rsid w:val="00E67A4B"/>
    <w:rsid w:val="00E67D2F"/>
    <w:rsid w:val="00E67F66"/>
    <w:rsid w:val="00E700DE"/>
    <w:rsid w:val="00E702FF"/>
    <w:rsid w:val="00E706A6"/>
    <w:rsid w:val="00E70779"/>
    <w:rsid w:val="00E70844"/>
    <w:rsid w:val="00E708AF"/>
    <w:rsid w:val="00E709BF"/>
    <w:rsid w:val="00E70ED8"/>
    <w:rsid w:val="00E70F58"/>
    <w:rsid w:val="00E7101F"/>
    <w:rsid w:val="00E711B6"/>
    <w:rsid w:val="00E7125E"/>
    <w:rsid w:val="00E716C5"/>
    <w:rsid w:val="00E7171C"/>
    <w:rsid w:val="00E719D6"/>
    <w:rsid w:val="00E71A38"/>
    <w:rsid w:val="00E71F42"/>
    <w:rsid w:val="00E72272"/>
    <w:rsid w:val="00E72337"/>
    <w:rsid w:val="00E72342"/>
    <w:rsid w:val="00E7256C"/>
    <w:rsid w:val="00E7280E"/>
    <w:rsid w:val="00E72AB0"/>
    <w:rsid w:val="00E72B3C"/>
    <w:rsid w:val="00E72FBE"/>
    <w:rsid w:val="00E73006"/>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AF0"/>
    <w:rsid w:val="00E74B78"/>
    <w:rsid w:val="00E74BE5"/>
    <w:rsid w:val="00E74CC0"/>
    <w:rsid w:val="00E7500C"/>
    <w:rsid w:val="00E752F5"/>
    <w:rsid w:val="00E7535A"/>
    <w:rsid w:val="00E7537A"/>
    <w:rsid w:val="00E7538E"/>
    <w:rsid w:val="00E755AD"/>
    <w:rsid w:val="00E75659"/>
    <w:rsid w:val="00E757F6"/>
    <w:rsid w:val="00E75917"/>
    <w:rsid w:val="00E75B70"/>
    <w:rsid w:val="00E75DF0"/>
    <w:rsid w:val="00E76015"/>
    <w:rsid w:val="00E76105"/>
    <w:rsid w:val="00E761A1"/>
    <w:rsid w:val="00E763A7"/>
    <w:rsid w:val="00E7648C"/>
    <w:rsid w:val="00E7663B"/>
    <w:rsid w:val="00E76871"/>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E47"/>
    <w:rsid w:val="00E77E79"/>
    <w:rsid w:val="00E77F68"/>
    <w:rsid w:val="00E80029"/>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3CB"/>
    <w:rsid w:val="00E82411"/>
    <w:rsid w:val="00E8251D"/>
    <w:rsid w:val="00E8263A"/>
    <w:rsid w:val="00E826A5"/>
    <w:rsid w:val="00E8271D"/>
    <w:rsid w:val="00E82740"/>
    <w:rsid w:val="00E82B24"/>
    <w:rsid w:val="00E82C5B"/>
    <w:rsid w:val="00E82D6A"/>
    <w:rsid w:val="00E82E23"/>
    <w:rsid w:val="00E82E7D"/>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48"/>
    <w:rsid w:val="00E870BE"/>
    <w:rsid w:val="00E87181"/>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A0"/>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8AB"/>
    <w:rsid w:val="00E93DC6"/>
    <w:rsid w:val="00E93F27"/>
    <w:rsid w:val="00E940F5"/>
    <w:rsid w:val="00E94130"/>
    <w:rsid w:val="00E942E7"/>
    <w:rsid w:val="00E94364"/>
    <w:rsid w:val="00E9470D"/>
    <w:rsid w:val="00E94BA5"/>
    <w:rsid w:val="00E94D32"/>
    <w:rsid w:val="00E94E0C"/>
    <w:rsid w:val="00E94F9D"/>
    <w:rsid w:val="00E9502B"/>
    <w:rsid w:val="00E9525C"/>
    <w:rsid w:val="00E9529A"/>
    <w:rsid w:val="00E954BE"/>
    <w:rsid w:val="00E9551D"/>
    <w:rsid w:val="00E95961"/>
    <w:rsid w:val="00E95DD1"/>
    <w:rsid w:val="00E95EA2"/>
    <w:rsid w:val="00E95F63"/>
    <w:rsid w:val="00E95FA4"/>
    <w:rsid w:val="00E9606C"/>
    <w:rsid w:val="00E96074"/>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0FF0"/>
    <w:rsid w:val="00EA11EA"/>
    <w:rsid w:val="00EA16B3"/>
    <w:rsid w:val="00EA1AF2"/>
    <w:rsid w:val="00EA1E1B"/>
    <w:rsid w:val="00EA2738"/>
    <w:rsid w:val="00EA273F"/>
    <w:rsid w:val="00EA28D3"/>
    <w:rsid w:val="00EA2995"/>
    <w:rsid w:val="00EA2BE0"/>
    <w:rsid w:val="00EA2E18"/>
    <w:rsid w:val="00EA2E6B"/>
    <w:rsid w:val="00EA2EA3"/>
    <w:rsid w:val="00EA2EF8"/>
    <w:rsid w:val="00EA3233"/>
    <w:rsid w:val="00EA32BC"/>
    <w:rsid w:val="00EA35EF"/>
    <w:rsid w:val="00EA38AF"/>
    <w:rsid w:val="00EA394C"/>
    <w:rsid w:val="00EA41F9"/>
    <w:rsid w:val="00EA4210"/>
    <w:rsid w:val="00EA4349"/>
    <w:rsid w:val="00EA439D"/>
    <w:rsid w:val="00EA43CC"/>
    <w:rsid w:val="00EA43CD"/>
    <w:rsid w:val="00EA4475"/>
    <w:rsid w:val="00EA46BA"/>
    <w:rsid w:val="00EA46CB"/>
    <w:rsid w:val="00EA46DE"/>
    <w:rsid w:val="00EA4AA3"/>
    <w:rsid w:val="00EA4AAD"/>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45"/>
    <w:rsid w:val="00EB2583"/>
    <w:rsid w:val="00EB26B1"/>
    <w:rsid w:val="00EB2725"/>
    <w:rsid w:val="00EB28A5"/>
    <w:rsid w:val="00EB28C3"/>
    <w:rsid w:val="00EB2E2B"/>
    <w:rsid w:val="00EB2E67"/>
    <w:rsid w:val="00EB2E7D"/>
    <w:rsid w:val="00EB2F73"/>
    <w:rsid w:val="00EB30B8"/>
    <w:rsid w:val="00EB314A"/>
    <w:rsid w:val="00EB32C7"/>
    <w:rsid w:val="00EB3A9A"/>
    <w:rsid w:val="00EB3C4D"/>
    <w:rsid w:val="00EB3C5E"/>
    <w:rsid w:val="00EB4034"/>
    <w:rsid w:val="00EB409C"/>
    <w:rsid w:val="00EB411E"/>
    <w:rsid w:val="00EB41CA"/>
    <w:rsid w:val="00EB425C"/>
    <w:rsid w:val="00EB42F7"/>
    <w:rsid w:val="00EB468E"/>
    <w:rsid w:val="00EB46F8"/>
    <w:rsid w:val="00EB4877"/>
    <w:rsid w:val="00EB489A"/>
    <w:rsid w:val="00EB4A6C"/>
    <w:rsid w:val="00EB4D62"/>
    <w:rsid w:val="00EB4F11"/>
    <w:rsid w:val="00EB4F7C"/>
    <w:rsid w:val="00EB514A"/>
    <w:rsid w:val="00EB5247"/>
    <w:rsid w:val="00EB538C"/>
    <w:rsid w:val="00EB5485"/>
    <w:rsid w:val="00EB572C"/>
    <w:rsid w:val="00EB574A"/>
    <w:rsid w:val="00EB5940"/>
    <w:rsid w:val="00EB5C3C"/>
    <w:rsid w:val="00EB5D6B"/>
    <w:rsid w:val="00EB5E0C"/>
    <w:rsid w:val="00EB60B1"/>
    <w:rsid w:val="00EB6275"/>
    <w:rsid w:val="00EB64FB"/>
    <w:rsid w:val="00EB665C"/>
    <w:rsid w:val="00EB6850"/>
    <w:rsid w:val="00EB6A8F"/>
    <w:rsid w:val="00EB6BFF"/>
    <w:rsid w:val="00EB6CC7"/>
    <w:rsid w:val="00EB6D2D"/>
    <w:rsid w:val="00EB6FC2"/>
    <w:rsid w:val="00EB70DB"/>
    <w:rsid w:val="00EB7147"/>
    <w:rsid w:val="00EB7189"/>
    <w:rsid w:val="00EB7295"/>
    <w:rsid w:val="00EB7318"/>
    <w:rsid w:val="00EB7725"/>
    <w:rsid w:val="00EB7BDD"/>
    <w:rsid w:val="00EC01F2"/>
    <w:rsid w:val="00EC05AD"/>
    <w:rsid w:val="00EC05FF"/>
    <w:rsid w:val="00EC077D"/>
    <w:rsid w:val="00EC0824"/>
    <w:rsid w:val="00EC0984"/>
    <w:rsid w:val="00EC09D6"/>
    <w:rsid w:val="00EC0A51"/>
    <w:rsid w:val="00EC0C64"/>
    <w:rsid w:val="00EC0DA1"/>
    <w:rsid w:val="00EC0DB6"/>
    <w:rsid w:val="00EC0E7E"/>
    <w:rsid w:val="00EC0F59"/>
    <w:rsid w:val="00EC0F5C"/>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F14"/>
    <w:rsid w:val="00EC4038"/>
    <w:rsid w:val="00EC4648"/>
    <w:rsid w:val="00EC47D2"/>
    <w:rsid w:val="00EC4A85"/>
    <w:rsid w:val="00EC4B6C"/>
    <w:rsid w:val="00EC4D4D"/>
    <w:rsid w:val="00EC4FFD"/>
    <w:rsid w:val="00EC524F"/>
    <w:rsid w:val="00EC53B8"/>
    <w:rsid w:val="00EC5435"/>
    <w:rsid w:val="00EC54D0"/>
    <w:rsid w:val="00EC57F4"/>
    <w:rsid w:val="00EC5897"/>
    <w:rsid w:val="00EC5B5E"/>
    <w:rsid w:val="00EC5CBE"/>
    <w:rsid w:val="00EC5E1F"/>
    <w:rsid w:val="00EC5EEA"/>
    <w:rsid w:val="00EC6101"/>
    <w:rsid w:val="00EC623A"/>
    <w:rsid w:val="00EC6294"/>
    <w:rsid w:val="00EC643A"/>
    <w:rsid w:val="00EC6453"/>
    <w:rsid w:val="00EC664A"/>
    <w:rsid w:val="00EC6A01"/>
    <w:rsid w:val="00EC6A65"/>
    <w:rsid w:val="00EC6BD9"/>
    <w:rsid w:val="00EC6C3B"/>
    <w:rsid w:val="00EC6C90"/>
    <w:rsid w:val="00EC6D83"/>
    <w:rsid w:val="00EC706E"/>
    <w:rsid w:val="00EC7166"/>
    <w:rsid w:val="00EC72A7"/>
    <w:rsid w:val="00EC73F1"/>
    <w:rsid w:val="00EC7447"/>
    <w:rsid w:val="00EC74F1"/>
    <w:rsid w:val="00EC79B2"/>
    <w:rsid w:val="00EC7C8B"/>
    <w:rsid w:val="00EC7CFA"/>
    <w:rsid w:val="00EC7F07"/>
    <w:rsid w:val="00ED023D"/>
    <w:rsid w:val="00ED02A0"/>
    <w:rsid w:val="00ED0336"/>
    <w:rsid w:val="00ED034D"/>
    <w:rsid w:val="00ED0356"/>
    <w:rsid w:val="00ED05A4"/>
    <w:rsid w:val="00ED0660"/>
    <w:rsid w:val="00ED0685"/>
    <w:rsid w:val="00ED06E7"/>
    <w:rsid w:val="00ED075F"/>
    <w:rsid w:val="00ED079B"/>
    <w:rsid w:val="00ED09F7"/>
    <w:rsid w:val="00ED0B2D"/>
    <w:rsid w:val="00ED0C69"/>
    <w:rsid w:val="00ED0DD3"/>
    <w:rsid w:val="00ED0E48"/>
    <w:rsid w:val="00ED0EED"/>
    <w:rsid w:val="00ED0F76"/>
    <w:rsid w:val="00ED1195"/>
    <w:rsid w:val="00ED11CE"/>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EC"/>
    <w:rsid w:val="00ED33EC"/>
    <w:rsid w:val="00ED350E"/>
    <w:rsid w:val="00ED36DD"/>
    <w:rsid w:val="00ED36FA"/>
    <w:rsid w:val="00ED3B59"/>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B32"/>
    <w:rsid w:val="00ED52DC"/>
    <w:rsid w:val="00ED5303"/>
    <w:rsid w:val="00ED53C0"/>
    <w:rsid w:val="00ED5547"/>
    <w:rsid w:val="00ED5613"/>
    <w:rsid w:val="00ED561B"/>
    <w:rsid w:val="00ED56D1"/>
    <w:rsid w:val="00ED5A3B"/>
    <w:rsid w:val="00ED5A3C"/>
    <w:rsid w:val="00ED5C5B"/>
    <w:rsid w:val="00ED5E6D"/>
    <w:rsid w:val="00ED5E95"/>
    <w:rsid w:val="00ED6019"/>
    <w:rsid w:val="00ED609F"/>
    <w:rsid w:val="00ED61D0"/>
    <w:rsid w:val="00ED626D"/>
    <w:rsid w:val="00ED62E6"/>
    <w:rsid w:val="00ED6325"/>
    <w:rsid w:val="00ED63FF"/>
    <w:rsid w:val="00ED64A1"/>
    <w:rsid w:val="00ED6504"/>
    <w:rsid w:val="00ED6680"/>
    <w:rsid w:val="00ED684B"/>
    <w:rsid w:val="00ED6AB0"/>
    <w:rsid w:val="00ED6B47"/>
    <w:rsid w:val="00ED6C12"/>
    <w:rsid w:val="00ED7202"/>
    <w:rsid w:val="00ED722E"/>
    <w:rsid w:val="00ED788A"/>
    <w:rsid w:val="00ED78AB"/>
    <w:rsid w:val="00ED7911"/>
    <w:rsid w:val="00ED7F23"/>
    <w:rsid w:val="00EE00D2"/>
    <w:rsid w:val="00EE01D3"/>
    <w:rsid w:val="00EE04F3"/>
    <w:rsid w:val="00EE08BD"/>
    <w:rsid w:val="00EE08C0"/>
    <w:rsid w:val="00EE09C8"/>
    <w:rsid w:val="00EE0CB8"/>
    <w:rsid w:val="00EE0DB3"/>
    <w:rsid w:val="00EE1184"/>
    <w:rsid w:val="00EE195E"/>
    <w:rsid w:val="00EE1B8E"/>
    <w:rsid w:val="00EE1B91"/>
    <w:rsid w:val="00EE1D89"/>
    <w:rsid w:val="00EE1EBB"/>
    <w:rsid w:val="00EE20AE"/>
    <w:rsid w:val="00EE221E"/>
    <w:rsid w:val="00EE2480"/>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973"/>
    <w:rsid w:val="00EE3BBF"/>
    <w:rsid w:val="00EE3C58"/>
    <w:rsid w:val="00EE3E9A"/>
    <w:rsid w:val="00EE44C3"/>
    <w:rsid w:val="00EE476E"/>
    <w:rsid w:val="00EE47CE"/>
    <w:rsid w:val="00EE4806"/>
    <w:rsid w:val="00EE4918"/>
    <w:rsid w:val="00EE494E"/>
    <w:rsid w:val="00EE49C2"/>
    <w:rsid w:val="00EE4AD4"/>
    <w:rsid w:val="00EE4CBC"/>
    <w:rsid w:val="00EE4F20"/>
    <w:rsid w:val="00EE5264"/>
    <w:rsid w:val="00EE5304"/>
    <w:rsid w:val="00EE56BC"/>
    <w:rsid w:val="00EE57DA"/>
    <w:rsid w:val="00EE57E1"/>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B11"/>
    <w:rsid w:val="00EE7C63"/>
    <w:rsid w:val="00EE7FAC"/>
    <w:rsid w:val="00EF0236"/>
    <w:rsid w:val="00EF02E5"/>
    <w:rsid w:val="00EF0430"/>
    <w:rsid w:val="00EF056E"/>
    <w:rsid w:val="00EF056F"/>
    <w:rsid w:val="00EF05CF"/>
    <w:rsid w:val="00EF094A"/>
    <w:rsid w:val="00EF0AE2"/>
    <w:rsid w:val="00EF0C30"/>
    <w:rsid w:val="00EF0CE5"/>
    <w:rsid w:val="00EF0E57"/>
    <w:rsid w:val="00EF1291"/>
    <w:rsid w:val="00EF1517"/>
    <w:rsid w:val="00EF155A"/>
    <w:rsid w:val="00EF158C"/>
    <w:rsid w:val="00EF17B4"/>
    <w:rsid w:val="00EF1BE9"/>
    <w:rsid w:val="00EF1CA3"/>
    <w:rsid w:val="00EF1D04"/>
    <w:rsid w:val="00EF1DA8"/>
    <w:rsid w:val="00EF1E21"/>
    <w:rsid w:val="00EF1F8C"/>
    <w:rsid w:val="00EF1F9A"/>
    <w:rsid w:val="00EF2247"/>
    <w:rsid w:val="00EF24BA"/>
    <w:rsid w:val="00EF2610"/>
    <w:rsid w:val="00EF268B"/>
    <w:rsid w:val="00EF276B"/>
    <w:rsid w:val="00EF2903"/>
    <w:rsid w:val="00EF2E93"/>
    <w:rsid w:val="00EF2F0A"/>
    <w:rsid w:val="00EF348B"/>
    <w:rsid w:val="00EF351A"/>
    <w:rsid w:val="00EF35E6"/>
    <w:rsid w:val="00EF35F4"/>
    <w:rsid w:val="00EF37E1"/>
    <w:rsid w:val="00EF39C0"/>
    <w:rsid w:val="00EF39EB"/>
    <w:rsid w:val="00EF39F6"/>
    <w:rsid w:val="00EF3B24"/>
    <w:rsid w:val="00EF3B97"/>
    <w:rsid w:val="00EF3C09"/>
    <w:rsid w:val="00EF3CF4"/>
    <w:rsid w:val="00EF4028"/>
    <w:rsid w:val="00EF4114"/>
    <w:rsid w:val="00EF4208"/>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F20"/>
    <w:rsid w:val="00EF4FE0"/>
    <w:rsid w:val="00EF5057"/>
    <w:rsid w:val="00EF52AC"/>
    <w:rsid w:val="00EF5376"/>
    <w:rsid w:val="00EF53C0"/>
    <w:rsid w:val="00EF5478"/>
    <w:rsid w:val="00EF55FF"/>
    <w:rsid w:val="00EF5A3F"/>
    <w:rsid w:val="00EF5A7D"/>
    <w:rsid w:val="00EF5AA2"/>
    <w:rsid w:val="00EF5AA3"/>
    <w:rsid w:val="00EF5B69"/>
    <w:rsid w:val="00EF5D32"/>
    <w:rsid w:val="00EF5DEC"/>
    <w:rsid w:val="00EF5FC3"/>
    <w:rsid w:val="00EF6050"/>
    <w:rsid w:val="00EF613D"/>
    <w:rsid w:val="00EF6218"/>
    <w:rsid w:val="00EF624D"/>
    <w:rsid w:val="00EF63D5"/>
    <w:rsid w:val="00EF6637"/>
    <w:rsid w:val="00EF6674"/>
    <w:rsid w:val="00EF670E"/>
    <w:rsid w:val="00EF67AC"/>
    <w:rsid w:val="00EF6DC1"/>
    <w:rsid w:val="00EF6E05"/>
    <w:rsid w:val="00EF6F98"/>
    <w:rsid w:val="00EF7183"/>
    <w:rsid w:val="00EF7517"/>
    <w:rsid w:val="00EF75A3"/>
    <w:rsid w:val="00EF769F"/>
    <w:rsid w:val="00EF77F6"/>
    <w:rsid w:val="00EF79AB"/>
    <w:rsid w:val="00EF7A6E"/>
    <w:rsid w:val="00EF7A9F"/>
    <w:rsid w:val="00EF7AA2"/>
    <w:rsid w:val="00EF7AAC"/>
    <w:rsid w:val="00EF7B20"/>
    <w:rsid w:val="00EF7BFF"/>
    <w:rsid w:val="00EF7CD1"/>
    <w:rsid w:val="00EF7DB0"/>
    <w:rsid w:val="00F003AF"/>
    <w:rsid w:val="00F003CD"/>
    <w:rsid w:val="00F0077C"/>
    <w:rsid w:val="00F00898"/>
    <w:rsid w:val="00F008F9"/>
    <w:rsid w:val="00F00912"/>
    <w:rsid w:val="00F00995"/>
    <w:rsid w:val="00F00ACC"/>
    <w:rsid w:val="00F00E55"/>
    <w:rsid w:val="00F0108C"/>
    <w:rsid w:val="00F01164"/>
    <w:rsid w:val="00F011AC"/>
    <w:rsid w:val="00F01401"/>
    <w:rsid w:val="00F01741"/>
    <w:rsid w:val="00F01DCF"/>
    <w:rsid w:val="00F01DD3"/>
    <w:rsid w:val="00F01F88"/>
    <w:rsid w:val="00F021B4"/>
    <w:rsid w:val="00F021DD"/>
    <w:rsid w:val="00F023DC"/>
    <w:rsid w:val="00F0248A"/>
    <w:rsid w:val="00F024C1"/>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D21"/>
    <w:rsid w:val="00F04E4B"/>
    <w:rsid w:val="00F04E7E"/>
    <w:rsid w:val="00F04EFF"/>
    <w:rsid w:val="00F04F7F"/>
    <w:rsid w:val="00F05015"/>
    <w:rsid w:val="00F05038"/>
    <w:rsid w:val="00F05109"/>
    <w:rsid w:val="00F05341"/>
    <w:rsid w:val="00F05534"/>
    <w:rsid w:val="00F055B9"/>
    <w:rsid w:val="00F0576D"/>
    <w:rsid w:val="00F05A99"/>
    <w:rsid w:val="00F05B49"/>
    <w:rsid w:val="00F05CC9"/>
    <w:rsid w:val="00F05D26"/>
    <w:rsid w:val="00F05EAC"/>
    <w:rsid w:val="00F05F7E"/>
    <w:rsid w:val="00F06230"/>
    <w:rsid w:val="00F06590"/>
    <w:rsid w:val="00F0677E"/>
    <w:rsid w:val="00F0679E"/>
    <w:rsid w:val="00F06858"/>
    <w:rsid w:val="00F06884"/>
    <w:rsid w:val="00F06ACA"/>
    <w:rsid w:val="00F06E7A"/>
    <w:rsid w:val="00F070E9"/>
    <w:rsid w:val="00F0749F"/>
    <w:rsid w:val="00F074B0"/>
    <w:rsid w:val="00F0751A"/>
    <w:rsid w:val="00F075CC"/>
    <w:rsid w:val="00F076BB"/>
    <w:rsid w:val="00F079A5"/>
    <w:rsid w:val="00F07A9F"/>
    <w:rsid w:val="00F07F61"/>
    <w:rsid w:val="00F10519"/>
    <w:rsid w:val="00F1054D"/>
    <w:rsid w:val="00F10703"/>
    <w:rsid w:val="00F1091D"/>
    <w:rsid w:val="00F10AE1"/>
    <w:rsid w:val="00F10B8F"/>
    <w:rsid w:val="00F11409"/>
    <w:rsid w:val="00F115C0"/>
    <w:rsid w:val="00F1163F"/>
    <w:rsid w:val="00F116FD"/>
    <w:rsid w:val="00F11D2A"/>
    <w:rsid w:val="00F11DFD"/>
    <w:rsid w:val="00F11E2C"/>
    <w:rsid w:val="00F11E37"/>
    <w:rsid w:val="00F122CB"/>
    <w:rsid w:val="00F124B5"/>
    <w:rsid w:val="00F12867"/>
    <w:rsid w:val="00F129FB"/>
    <w:rsid w:val="00F12D0C"/>
    <w:rsid w:val="00F131D0"/>
    <w:rsid w:val="00F135B9"/>
    <w:rsid w:val="00F138F3"/>
    <w:rsid w:val="00F13939"/>
    <w:rsid w:val="00F13977"/>
    <w:rsid w:val="00F13A6A"/>
    <w:rsid w:val="00F13C90"/>
    <w:rsid w:val="00F13F8F"/>
    <w:rsid w:val="00F140A0"/>
    <w:rsid w:val="00F14238"/>
    <w:rsid w:val="00F14387"/>
    <w:rsid w:val="00F14430"/>
    <w:rsid w:val="00F1448E"/>
    <w:rsid w:val="00F145BE"/>
    <w:rsid w:val="00F14719"/>
    <w:rsid w:val="00F148C3"/>
    <w:rsid w:val="00F14CF9"/>
    <w:rsid w:val="00F14DAE"/>
    <w:rsid w:val="00F14DE7"/>
    <w:rsid w:val="00F14E2C"/>
    <w:rsid w:val="00F14EF9"/>
    <w:rsid w:val="00F150F6"/>
    <w:rsid w:val="00F15164"/>
    <w:rsid w:val="00F152DB"/>
    <w:rsid w:val="00F1540D"/>
    <w:rsid w:val="00F1554E"/>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E67"/>
    <w:rsid w:val="00F16F3C"/>
    <w:rsid w:val="00F16F70"/>
    <w:rsid w:val="00F16F7A"/>
    <w:rsid w:val="00F1708C"/>
    <w:rsid w:val="00F172B7"/>
    <w:rsid w:val="00F172E2"/>
    <w:rsid w:val="00F174D6"/>
    <w:rsid w:val="00F1773A"/>
    <w:rsid w:val="00F17769"/>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4BB"/>
    <w:rsid w:val="00F2154D"/>
    <w:rsid w:val="00F215E9"/>
    <w:rsid w:val="00F21631"/>
    <w:rsid w:val="00F21705"/>
    <w:rsid w:val="00F21796"/>
    <w:rsid w:val="00F219D2"/>
    <w:rsid w:val="00F21C0E"/>
    <w:rsid w:val="00F21EA2"/>
    <w:rsid w:val="00F21EF7"/>
    <w:rsid w:val="00F21FB4"/>
    <w:rsid w:val="00F2202B"/>
    <w:rsid w:val="00F2209A"/>
    <w:rsid w:val="00F226FC"/>
    <w:rsid w:val="00F227CD"/>
    <w:rsid w:val="00F23365"/>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82C"/>
    <w:rsid w:val="00F24B11"/>
    <w:rsid w:val="00F24D9B"/>
    <w:rsid w:val="00F24E02"/>
    <w:rsid w:val="00F24EA1"/>
    <w:rsid w:val="00F24EF8"/>
    <w:rsid w:val="00F25299"/>
    <w:rsid w:val="00F2534D"/>
    <w:rsid w:val="00F25525"/>
    <w:rsid w:val="00F25614"/>
    <w:rsid w:val="00F25668"/>
    <w:rsid w:val="00F25A26"/>
    <w:rsid w:val="00F25A3A"/>
    <w:rsid w:val="00F25A97"/>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1C"/>
    <w:rsid w:val="00F27095"/>
    <w:rsid w:val="00F270B9"/>
    <w:rsid w:val="00F2714D"/>
    <w:rsid w:val="00F271B1"/>
    <w:rsid w:val="00F273AB"/>
    <w:rsid w:val="00F27493"/>
    <w:rsid w:val="00F27541"/>
    <w:rsid w:val="00F279D6"/>
    <w:rsid w:val="00F27A78"/>
    <w:rsid w:val="00F27D5F"/>
    <w:rsid w:val="00F27D8D"/>
    <w:rsid w:val="00F27ECD"/>
    <w:rsid w:val="00F305F9"/>
    <w:rsid w:val="00F306C8"/>
    <w:rsid w:val="00F30938"/>
    <w:rsid w:val="00F30C23"/>
    <w:rsid w:val="00F30F49"/>
    <w:rsid w:val="00F311CA"/>
    <w:rsid w:val="00F31479"/>
    <w:rsid w:val="00F31581"/>
    <w:rsid w:val="00F316F5"/>
    <w:rsid w:val="00F31735"/>
    <w:rsid w:val="00F31A15"/>
    <w:rsid w:val="00F31B2D"/>
    <w:rsid w:val="00F31C67"/>
    <w:rsid w:val="00F31CA6"/>
    <w:rsid w:val="00F31D94"/>
    <w:rsid w:val="00F31DEF"/>
    <w:rsid w:val="00F3209B"/>
    <w:rsid w:val="00F32117"/>
    <w:rsid w:val="00F321DD"/>
    <w:rsid w:val="00F328D4"/>
    <w:rsid w:val="00F32CDD"/>
    <w:rsid w:val="00F32DCC"/>
    <w:rsid w:val="00F32E28"/>
    <w:rsid w:val="00F32E39"/>
    <w:rsid w:val="00F33017"/>
    <w:rsid w:val="00F3330A"/>
    <w:rsid w:val="00F33360"/>
    <w:rsid w:val="00F333DC"/>
    <w:rsid w:val="00F3347C"/>
    <w:rsid w:val="00F334A9"/>
    <w:rsid w:val="00F335D3"/>
    <w:rsid w:val="00F3365A"/>
    <w:rsid w:val="00F336A3"/>
    <w:rsid w:val="00F33812"/>
    <w:rsid w:val="00F33814"/>
    <w:rsid w:val="00F33968"/>
    <w:rsid w:val="00F33B2F"/>
    <w:rsid w:val="00F33BAB"/>
    <w:rsid w:val="00F340F6"/>
    <w:rsid w:val="00F34220"/>
    <w:rsid w:val="00F3423A"/>
    <w:rsid w:val="00F34409"/>
    <w:rsid w:val="00F344DE"/>
    <w:rsid w:val="00F34595"/>
    <w:rsid w:val="00F345D4"/>
    <w:rsid w:val="00F34767"/>
    <w:rsid w:val="00F347C0"/>
    <w:rsid w:val="00F34AB5"/>
    <w:rsid w:val="00F34C3E"/>
    <w:rsid w:val="00F34D92"/>
    <w:rsid w:val="00F34DF9"/>
    <w:rsid w:val="00F34E7D"/>
    <w:rsid w:val="00F34EF5"/>
    <w:rsid w:val="00F34F9A"/>
    <w:rsid w:val="00F3514B"/>
    <w:rsid w:val="00F35208"/>
    <w:rsid w:val="00F35435"/>
    <w:rsid w:val="00F356D7"/>
    <w:rsid w:val="00F3578A"/>
    <w:rsid w:val="00F357E4"/>
    <w:rsid w:val="00F3594F"/>
    <w:rsid w:val="00F35954"/>
    <w:rsid w:val="00F35C35"/>
    <w:rsid w:val="00F35D30"/>
    <w:rsid w:val="00F35E8A"/>
    <w:rsid w:val="00F3626B"/>
    <w:rsid w:val="00F362B5"/>
    <w:rsid w:val="00F36341"/>
    <w:rsid w:val="00F3655A"/>
    <w:rsid w:val="00F36727"/>
    <w:rsid w:val="00F36757"/>
    <w:rsid w:val="00F36B75"/>
    <w:rsid w:val="00F36C18"/>
    <w:rsid w:val="00F36FF2"/>
    <w:rsid w:val="00F3706D"/>
    <w:rsid w:val="00F371EC"/>
    <w:rsid w:val="00F3734F"/>
    <w:rsid w:val="00F3752B"/>
    <w:rsid w:val="00F37895"/>
    <w:rsid w:val="00F378C7"/>
    <w:rsid w:val="00F37910"/>
    <w:rsid w:val="00F37AEE"/>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471"/>
    <w:rsid w:val="00F41530"/>
    <w:rsid w:val="00F415F5"/>
    <w:rsid w:val="00F416C7"/>
    <w:rsid w:val="00F4183D"/>
    <w:rsid w:val="00F418EB"/>
    <w:rsid w:val="00F418EE"/>
    <w:rsid w:val="00F419CE"/>
    <w:rsid w:val="00F41A4D"/>
    <w:rsid w:val="00F41B81"/>
    <w:rsid w:val="00F41BE2"/>
    <w:rsid w:val="00F41D0A"/>
    <w:rsid w:val="00F41D19"/>
    <w:rsid w:val="00F41DB0"/>
    <w:rsid w:val="00F42172"/>
    <w:rsid w:val="00F42205"/>
    <w:rsid w:val="00F4234E"/>
    <w:rsid w:val="00F4250F"/>
    <w:rsid w:val="00F42555"/>
    <w:rsid w:val="00F42582"/>
    <w:rsid w:val="00F4284F"/>
    <w:rsid w:val="00F42A34"/>
    <w:rsid w:val="00F42A64"/>
    <w:rsid w:val="00F42AAA"/>
    <w:rsid w:val="00F42DAD"/>
    <w:rsid w:val="00F42DFF"/>
    <w:rsid w:val="00F43081"/>
    <w:rsid w:val="00F430D2"/>
    <w:rsid w:val="00F43166"/>
    <w:rsid w:val="00F431B4"/>
    <w:rsid w:val="00F4325A"/>
    <w:rsid w:val="00F43516"/>
    <w:rsid w:val="00F43691"/>
    <w:rsid w:val="00F43861"/>
    <w:rsid w:val="00F43999"/>
    <w:rsid w:val="00F439B1"/>
    <w:rsid w:val="00F43B65"/>
    <w:rsid w:val="00F43B68"/>
    <w:rsid w:val="00F43BEA"/>
    <w:rsid w:val="00F43E9B"/>
    <w:rsid w:val="00F440A1"/>
    <w:rsid w:val="00F440B8"/>
    <w:rsid w:val="00F4420D"/>
    <w:rsid w:val="00F4449C"/>
    <w:rsid w:val="00F4451E"/>
    <w:rsid w:val="00F44632"/>
    <w:rsid w:val="00F44715"/>
    <w:rsid w:val="00F447BD"/>
    <w:rsid w:val="00F447D0"/>
    <w:rsid w:val="00F44B90"/>
    <w:rsid w:val="00F44B9F"/>
    <w:rsid w:val="00F44BD9"/>
    <w:rsid w:val="00F44D6F"/>
    <w:rsid w:val="00F45075"/>
    <w:rsid w:val="00F45118"/>
    <w:rsid w:val="00F451C2"/>
    <w:rsid w:val="00F453F6"/>
    <w:rsid w:val="00F454BE"/>
    <w:rsid w:val="00F4557E"/>
    <w:rsid w:val="00F45707"/>
    <w:rsid w:val="00F459BF"/>
    <w:rsid w:val="00F45A36"/>
    <w:rsid w:val="00F45A81"/>
    <w:rsid w:val="00F45BDE"/>
    <w:rsid w:val="00F45CA2"/>
    <w:rsid w:val="00F45CE4"/>
    <w:rsid w:val="00F45DD1"/>
    <w:rsid w:val="00F45EA3"/>
    <w:rsid w:val="00F45F7E"/>
    <w:rsid w:val="00F46312"/>
    <w:rsid w:val="00F46423"/>
    <w:rsid w:val="00F464D8"/>
    <w:rsid w:val="00F466F2"/>
    <w:rsid w:val="00F466F5"/>
    <w:rsid w:val="00F466FF"/>
    <w:rsid w:val="00F467D3"/>
    <w:rsid w:val="00F46E50"/>
    <w:rsid w:val="00F471DE"/>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363"/>
    <w:rsid w:val="00F563CA"/>
    <w:rsid w:val="00F564B2"/>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6AE"/>
    <w:rsid w:val="00F57713"/>
    <w:rsid w:val="00F57810"/>
    <w:rsid w:val="00F5797C"/>
    <w:rsid w:val="00F57C3E"/>
    <w:rsid w:val="00F57CF0"/>
    <w:rsid w:val="00F57DF8"/>
    <w:rsid w:val="00F6007A"/>
    <w:rsid w:val="00F600C4"/>
    <w:rsid w:val="00F600C6"/>
    <w:rsid w:val="00F60177"/>
    <w:rsid w:val="00F602CD"/>
    <w:rsid w:val="00F60405"/>
    <w:rsid w:val="00F60751"/>
    <w:rsid w:val="00F61103"/>
    <w:rsid w:val="00F61893"/>
    <w:rsid w:val="00F61932"/>
    <w:rsid w:val="00F61B8D"/>
    <w:rsid w:val="00F61CC5"/>
    <w:rsid w:val="00F61D95"/>
    <w:rsid w:val="00F61EAD"/>
    <w:rsid w:val="00F61F7C"/>
    <w:rsid w:val="00F621E7"/>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7BB"/>
    <w:rsid w:val="00F6683C"/>
    <w:rsid w:val="00F6689C"/>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92"/>
    <w:rsid w:val="00F714AE"/>
    <w:rsid w:val="00F7157D"/>
    <w:rsid w:val="00F71826"/>
    <w:rsid w:val="00F71836"/>
    <w:rsid w:val="00F71A6B"/>
    <w:rsid w:val="00F71ACC"/>
    <w:rsid w:val="00F71B89"/>
    <w:rsid w:val="00F71BF2"/>
    <w:rsid w:val="00F71CCC"/>
    <w:rsid w:val="00F71CD0"/>
    <w:rsid w:val="00F723B0"/>
    <w:rsid w:val="00F72400"/>
    <w:rsid w:val="00F724E9"/>
    <w:rsid w:val="00F72A5A"/>
    <w:rsid w:val="00F72BAB"/>
    <w:rsid w:val="00F72C5A"/>
    <w:rsid w:val="00F72CF9"/>
    <w:rsid w:val="00F72CFF"/>
    <w:rsid w:val="00F73071"/>
    <w:rsid w:val="00F73321"/>
    <w:rsid w:val="00F7355E"/>
    <w:rsid w:val="00F73574"/>
    <w:rsid w:val="00F736EB"/>
    <w:rsid w:val="00F7379A"/>
    <w:rsid w:val="00F73955"/>
    <w:rsid w:val="00F73C95"/>
    <w:rsid w:val="00F73C9C"/>
    <w:rsid w:val="00F73D12"/>
    <w:rsid w:val="00F73F71"/>
    <w:rsid w:val="00F73F75"/>
    <w:rsid w:val="00F7412F"/>
    <w:rsid w:val="00F74633"/>
    <w:rsid w:val="00F74757"/>
    <w:rsid w:val="00F7481E"/>
    <w:rsid w:val="00F74874"/>
    <w:rsid w:val="00F74912"/>
    <w:rsid w:val="00F74BAC"/>
    <w:rsid w:val="00F74D02"/>
    <w:rsid w:val="00F74F3B"/>
    <w:rsid w:val="00F75031"/>
    <w:rsid w:val="00F7522B"/>
    <w:rsid w:val="00F75655"/>
    <w:rsid w:val="00F757FE"/>
    <w:rsid w:val="00F75832"/>
    <w:rsid w:val="00F75B37"/>
    <w:rsid w:val="00F76186"/>
    <w:rsid w:val="00F7641D"/>
    <w:rsid w:val="00F764E4"/>
    <w:rsid w:val="00F76574"/>
    <w:rsid w:val="00F765FE"/>
    <w:rsid w:val="00F767DE"/>
    <w:rsid w:val="00F768BF"/>
    <w:rsid w:val="00F768EC"/>
    <w:rsid w:val="00F769DE"/>
    <w:rsid w:val="00F76A8D"/>
    <w:rsid w:val="00F76BB0"/>
    <w:rsid w:val="00F76E6E"/>
    <w:rsid w:val="00F76FAF"/>
    <w:rsid w:val="00F77065"/>
    <w:rsid w:val="00F77283"/>
    <w:rsid w:val="00F77297"/>
    <w:rsid w:val="00F77897"/>
    <w:rsid w:val="00F77928"/>
    <w:rsid w:val="00F77A76"/>
    <w:rsid w:val="00F77C4C"/>
    <w:rsid w:val="00F77D73"/>
    <w:rsid w:val="00F77DB9"/>
    <w:rsid w:val="00F77E77"/>
    <w:rsid w:val="00F77F23"/>
    <w:rsid w:val="00F77FEF"/>
    <w:rsid w:val="00F80075"/>
    <w:rsid w:val="00F80255"/>
    <w:rsid w:val="00F8030F"/>
    <w:rsid w:val="00F80328"/>
    <w:rsid w:val="00F80590"/>
    <w:rsid w:val="00F8061A"/>
    <w:rsid w:val="00F8069E"/>
    <w:rsid w:val="00F806BC"/>
    <w:rsid w:val="00F807A9"/>
    <w:rsid w:val="00F808A8"/>
    <w:rsid w:val="00F8090A"/>
    <w:rsid w:val="00F8092F"/>
    <w:rsid w:val="00F80CD0"/>
    <w:rsid w:val="00F80E39"/>
    <w:rsid w:val="00F80F5F"/>
    <w:rsid w:val="00F811D5"/>
    <w:rsid w:val="00F812C8"/>
    <w:rsid w:val="00F813CA"/>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3E5"/>
    <w:rsid w:val="00F8469F"/>
    <w:rsid w:val="00F846EF"/>
    <w:rsid w:val="00F847CB"/>
    <w:rsid w:val="00F84938"/>
    <w:rsid w:val="00F84984"/>
    <w:rsid w:val="00F84A84"/>
    <w:rsid w:val="00F84AC9"/>
    <w:rsid w:val="00F84AFF"/>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947"/>
    <w:rsid w:val="00F86AAD"/>
    <w:rsid w:val="00F870C9"/>
    <w:rsid w:val="00F87261"/>
    <w:rsid w:val="00F8740D"/>
    <w:rsid w:val="00F87917"/>
    <w:rsid w:val="00F87A30"/>
    <w:rsid w:val="00F87B67"/>
    <w:rsid w:val="00F87F09"/>
    <w:rsid w:val="00F9000E"/>
    <w:rsid w:val="00F90395"/>
    <w:rsid w:val="00F903D4"/>
    <w:rsid w:val="00F907B1"/>
    <w:rsid w:val="00F90A6A"/>
    <w:rsid w:val="00F90AD0"/>
    <w:rsid w:val="00F90CB3"/>
    <w:rsid w:val="00F90CF0"/>
    <w:rsid w:val="00F90E82"/>
    <w:rsid w:val="00F90EC6"/>
    <w:rsid w:val="00F90F09"/>
    <w:rsid w:val="00F9115B"/>
    <w:rsid w:val="00F91188"/>
    <w:rsid w:val="00F91213"/>
    <w:rsid w:val="00F912A4"/>
    <w:rsid w:val="00F914B4"/>
    <w:rsid w:val="00F915AD"/>
    <w:rsid w:val="00F91884"/>
    <w:rsid w:val="00F91C29"/>
    <w:rsid w:val="00F91CAA"/>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DAE"/>
    <w:rsid w:val="00F92E6D"/>
    <w:rsid w:val="00F92EA4"/>
    <w:rsid w:val="00F92F9B"/>
    <w:rsid w:val="00F93115"/>
    <w:rsid w:val="00F934FA"/>
    <w:rsid w:val="00F9375D"/>
    <w:rsid w:val="00F93764"/>
    <w:rsid w:val="00F93774"/>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63F"/>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2EF"/>
    <w:rsid w:val="00F9748F"/>
    <w:rsid w:val="00F97566"/>
    <w:rsid w:val="00F97871"/>
    <w:rsid w:val="00F97963"/>
    <w:rsid w:val="00F97A26"/>
    <w:rsid w:val="00F97AAF"/>
    <w:rsid w:val="00FA023B"/>
    <w:rsid w:val="00FA0572"/>
    <w:rsid w:val="00FA05E9"/>
    <w:rsid w:val="00FA070F"/>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E16"/>
    <w:rsid w:val="00FA1E73"/>
    <w:rsid w:val="00FA22EA"/>
    <w:rsid w:val="00FA2336"/>
    <w:rsid w:val="00FA237C"/>
    <w:rsid w:val="00FA2385"/>
    <w:rsid w:val="00FA23E4"/>
    <w:rsid w:val="00FA275B"/>
    <w:rsid w:val="00FA2843"/>
    <w:rsid w:val="00FA2932"/>
    <w:rsid w:val="00FA2D62"/>
    <w:rsid w:val="00FA2F43"/>
    <w:rsid w:val="00FA3065"/>
    <w:rsid w:val="00FA32F5"/>
    <w:rsid w:val="00FA3367"/>
    <w:rsid w:val="00FA337B"/>
    <w:rsid w:val="00FA3469"/>
    <w:rsid w:val="00FA38C8"/>
    <w:rsid w:val="00FA39B6"/>
    <w:rsid w:val="00FA39DF"/>
    <w:rsid w:val="00FA3A0D"/>
    <w:rsid w:val="00FA3AD1"/>
    <w:rsid w:val="00FA3FFF"/>
    <w:rsid w:val="00FA4322"/>
    <w:rsid w:val="00FA452C"/>
    <w:rsid w:val="00FA4C27"/>
    <w:rsid w:val="00FA4C6C"/>
    <w:rsid w:val="00FA4C80"/>
    <w:rsid w:val="00FA4D0B"/>
    <w:rsid w:val="00FA4E31"/>
    <w:rsid w:val="00FA4F39"/>
    <w:rsid w:val="00FA4FE8"/>
    <w:rsid w:val="00FA508A"/>
    <w:rsid w:val="00FA5330"/>
    <w:rsid w:val="00FA5392"/>
    <w:rsid w:val="00FA53EB"/>
    <w:rsid w:val="00FA54E4"/>
    <w:rsid w:val="00FA5B1E"/>
    <w:rsid w:val="00FA5B69"/>
    <w:rsid w:val="00FA6285"/>
    <w:rsid w:val="00FA638F"/>
    <w:rsid w:val="00FA63E9"/>
    <w:rsid w:val="00FA65D6"/>
    <w:rsid w:val="00FA6808"/>
    <w:rsid w:val="00FA687F"/>
    <w:rsid w:val="00FA69F4"/>
    <w:rsid w:val="00FA6BFE"/>
    <w:rsid w:val="00FA6D2B"/>
    <w:rsid w:val="00FA6DC2"/>
    <w:rsid w:val="00FA7018"/>
    <w:rsid w:val="00FA70D3"/>
    <w:rsid w:val="00FA70EE"/>
    <w:rsid w:val="00FA7134"/>
    <w:rsid w:val="00FA7387"/>
    <w:rsid w:val="00FA78FB"/>
    <w:rsid w:val="00FA79CA"/>
    <w:rsid w:val="00FA7BD2"/>
    <w:rsid w:val="00FA7D1B"/>
    <w:rsid w:val="00FA7E40"/>
    <w:rsid w:val="00FA7F21"/>
    <w:rsid w:val="00FB0059"/>
    <w:rsid w:val="00FB00C6"/>
    <w:rsid w:val="00FB021B"/>
    <w:rsid w:val="00FB03F5"/>
    <w:rsid w:val="00FB042F"/>
    <w:rsid w:val="00FB071E"/>
    <w:rsid w:val="00FB0BBC"/>
    <w:rsid w:val="00FB0CA9"/>
    <w:rsid w:val="00FB0FB4"/>
    <w:rsid w:val="00FB105C"/>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D61"/>
    <w:rsid w:val="00FB2E39"/>
    <w:rsid w:val="00FB2E77"/>
    <w:rsid w:val="00FB2FD3"/>
    <w:rsid w:val="00FB2FF2"/>
    <w:rsid w:val="00FB308C"/>
    <w:rsid w:val="00FB32F1"/>
    <w:rsid w:val="00FB3389"/>
    <w:rsid w:val="00FB39BF"/>
    <w:rsid w:val="00FB3B73"/>
    <w:rsid w:val="00FB3C75"/>
    <w:rsid w:val="00FB3D81"/>
    <w:rsid w:val="00FB3F12"/>
    <w:rsid w:val="00FB401D"/>
    <w:rsid w:val="00FB4192"/>
    <w:rsid w:val="00FB421E"/>
    <w:rsid w:val="00FB43B7"/>
    <w:rsid w:val="00FB451C"/>
    <w:rsid w:val="00FB4569"/>
    <w:rsid w:val="00FB45F2"/>
    <w:rsid w:val="00FB46C8"/>
    <w:rsid w:val="00FB4892"/>
    <w:rsid w:val="00FB4921"/>
    <w:rsid w:val="00FB4932"/>
    <w:rsid w:val="00FB49E4"/>
    <w:rsid w:val="00FB4D49"/>
    <w:rsid w:val="00FB4E9C"/>
    <w:rsid w:val="00FB4F50"/>
    <w:rsid w:val="00FB4F66"/>
    <w:rsid w:val="00FB5172"/>
    <w:rsid w:val="00FB53E2"/>
    <w:rsid w:val="00FB53F5"/>
    <w:rsid w:val="00FB54CF"/>
    <w:rsid w:val="00FB5643"/>
    <w:rsid w:val="00FB57DF"/>
    <w:rsid w:val="00FB5BD9"/>
    <w:rsid w:val="00FB5C25"/>
    <w:rsid w:val="00FB5CE9"/>
    <w:rsid w:val="00FB5DED"/>
    <w:rsid w:val="00FB5EBD"/>
    <w:rsid w:val="00FB5F42"/>
    <w:rsid w:val="00FB5F6E"/>
    <w:rsid w:val="00FB5FCE"/>
    <w:rsid w:val="00FB6430"/>
    <w:rsid w:val="00FB6580"/>
    <w:rsid w:val="00FB6663"/>
    <w:rsid w:val="00FB6868"/>
    <w:rsid w:val="00FB68CE"/>
    <w:rsid w:val="00FB6936"/>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410"/>
    <w:rsid w:val="00FC04BD"/>
    <w:rsid w:val="00FC094C"/>
    <w:rsid w:val="00FC0AAD"/>
    <w:rsid w:val="00FC0FFF"/>
    <w:rsid w:val="00FC106E"/>
    <w:rsid w:val="00FC1141"/>
    <w:rsid w:val="00FC14E0"/>
    <w:rsid w:val="00FC1551"/>
    <w:rsid w:val="00FC15D9"/>
    <w:rsid w:val="00FC1873"/>
    <w:rsid w:val="00FC18D2"/>
    <w:rsid w:val="00FC192B"/>
    <w:rsid w:val="00FC19CA"/>
    <w:rsid w:val="00FC1B2B"/>
    <w:rsid w:val="00FC1DF2"/>
    <w:rsid w:val="00FC1E28"/>
    <w:rsid w:val="00FC1EE7"/>
    <w:rsid w:val="00FC21FE"/>
    <w:rsid w:val="00FC221D"/>
    <w:rsid w:val="00FC22C5"/>
    <w:rsid w:val="00FC22EC"/>
    <w:rsid w:val="00FC22F5"/>
    <w:rsid w:val="00FC23D5"/>
    <w:rsid w:val="00FC241D"/>
    <w:rsid w:val="00FC248C"/>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E4"/>
    <w:rsid w:val="00FC3801"/>
    <w:rsid w:val="00FC3812"/>
    <w:rsid w:val="00FC3849"/>
    <w:rsid w:val="00FC38A2"/>
    <w:rsid w:val="00FC38D3"/>
    <w:rsid w:val="00FC393C"/>
    <w:rsid w:val="00FC3B1D"/>
    <w:rsid w:val="00FC3C8F"/>
    <w:rsid w:val="00FC3ECC"/>
    <w:rsid w:val="00FC405C"/>
    <w:rsid w:val="00FC4417"/>
    <w:rsid w:val="00FC44F9"/>
    <w:rsid w:val="00FC45E3"/>
    <w:rsid w:val="00FC48CC"/>
    <w:rsid w:val="00FC4946"/>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E7F"/>
    <w:rsid w:val="00FC6007"/>
    <w:rsid w:val="00FC62CF"/>
    <w:rsid w:val="00FC63A1"/>
    <w:rsid w:val="00FC66F2"/>
    <w:rsid w:val="00FC6C17"/>
    <w:rsid w:val="00FC6C87"/>
    <w:rsid w:val="00FC6D20"/>
    <w:rsid w:val="00FC711D"/>
    <w:rsid w:val="00FC7257"/>
    <w:rsid w:val="00FC7269"/>
    <w:rsid w:val="00FC72FA"/>
    <w:rsid w:val="00FC748D"/>
    <w:rsid w:val="00FC765C"/>
    <w:rsid w:val="00FC7708"/>
    <w:rsid w:val="00FC770B"/>
    <w:rsid w:val="00FC79C3"/>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8CE"/>
    <w:rsid w:val="00FD4AF3"/>
    <w:rsid w:val="00FD4BC2"/>
    <w:rsid w:val="00FD4BD8"/>
    <w:rsid w:val="00FD4EFC"/>
    <w:rsid w:val="00FD4F01"/>
    <w:rsid w:val="00FD52F6"/>
    <w:rsid w:val="00FD5535"/>
    <w:rsid w:val="00FD56AC"/>
    <w:rsid w:val="00FD59D7"/>
    <w:rsid w:val="00FD5A63"/>
    <w:rsid w:val="00FD5A71"/>
    <w:rsid w:val="00FD5AF4"/>
    <w:rsid w:val="00FD5C12"/>
    <w:rsid w:val="00FD5DF7"/>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70"/>
    <w:rsid w:val="00FE0A96"/>
    <w:rsid w:val="00FE0B91"/>
    <w:rsid w:val="00FE0C5F"/>
    <w:rsid w:val="00FE0C73"/>
    <w:rsid w:val="00FE0E43"/>
    <w:rsid w:val="00FE0E86"/>
    <w:rsid w:val="00FE0F57"/>
    <w:rsid w:val="00FE0FDA"/>
    <w:rsid w:val="00FE1295"/>
    <w:rsid w:val="00FE185A"/>
    <w:rsid w:val="00FE1938"/>
    <w:rsid w:val="00FE19B5"/>
    <w:rsid w:val="00FE1B5A"/>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C32"/>
    <w:rsid w:val="00FE3DE9"/>
    <w:rsid w:val="00FE3F22"/>
    <w:rsid w:val="00FE42D5"/>
    <w:rsid w:val="00FE44B7"/>
    <w:rsid w:val="00FE4502"/>
    <w:rsid w:val="00FE46FB"/>
    <w:rsid w:val="00FE4EBB"/>
    <w:rsid w:val="00FE5116"/>
    <w:rsid w:val="00FE51B0"/>
    <w:rsid w:val="00FE54AE"/>
    <w:rsid w:val="00FE56F4"/>
    <w:rsid w:val="00FE5754"/>
    <w:rsid w:val="00FE57DC"/>
    <w:rsid w:val="00FE59D3"/>
    <w:rsid w:val="00FE5BE9"/>
    <w:rsid w:val="00FE5CF4"/>
    <w:rsid w:val="00FE5DE0"/>
    <w:rsid w:val="00FE5F78"/>
    <w:rsid w:val="00FE63EC"/>
    <w:rsid w:val="00FE6466"/>
    <w:rsid w:val="00FE6680"/>
    <w:rsid w:val="00FE669D"/>
    <w:rsid w:val="00FE689E"/>
    <w:rsid w:val="00FE68AE"/>
    <w:rsid w:val="00FE6BF7"/>
    <w:rsid w:val="00FE6C4C"/>
    <w:rsid w:val="00FE6D91"/>
    <w:rsid w:val="00FE6DBA"/>
    <w:rsid w:val="00FE6DC1"/>
    <w:rsid w:val="00FE6E43"/>
    <w:rsid w:val="00FE713F"/>
    <w:rsid w:val="00FE7196"/>
    <w:rsid w:val="00FE73A7"/>
    <w:rsid w:val="00FE7452"/>
    <w:rsid w:val="00FE7530"/>
    <w:rsid w:val="00FE77F6"/>
    <w:rsid w:val="00FE7A0A"/>
    <w:rsid w:val="00FE7A0F"/>
    <w:rsid w:val="00FE7CB0"/>
    <w:rsid w:val="00FE7D37"/>
    <w:rsid w:val="00FE7D93"/>
    <w:rsid w:val="00FF0146"/>
    <w:rsid w:val="00FF01CF"/>
    <w:rsid w:val="00FF04AA"/>
    <w:rsid w:val="00FF07C5"/>
    <w:rsid w:val="00FF09BC"/>
    <w:rsid w:val="00FF0A9C"/>
    <w:rsid w:val="00FF0AED"/>
    <w:rsid w:val="00FF0B52"/>
    <w:rsid w:val="00FF0DD2"/>
    <w:rsid w:val="00FF10C3"/>
    <w:rsid w:val="00FF12CD"/>
    <w:rsid w:val="00FF1353"/>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9F"/>
    <w:rsid w:val="00FF3EF6"/>
    <w:rsid w:val="00FF405C"/>
    <w:rsid w:val="00FF4094"/>
    <w:rsid w:val="00FF40B3"/>
    <w:rsid w:val="00FF43FC"/>
    <w:rsid w:val="00FF440A"/>
    <w:rsid w:val="00FF4916"/>
    <w:rsid w:val="00FF4943"/>
    <w:rsid w:val="00FF49A8"/>
    <w:rsid w:val="00FF4F2B"/>
    <w:rsid w:val="00FF4FA2"/>
    <w:rsid w:val="00FF52BA"/>
    <w:rsid w:val="00FF52D6"/>
    <w:rsid w:val="00FF52DF"/>
    <w:rsid w:val="00FF52F8"/>
    <w:rsid w:val="00FF549C"/>
    <w:rsid w:val="00FF55EC"/>
    <w:rsid w:val="00FF5897"/>
    <w:rsid w:val="00FF5989"/>
    <w:rsid w:val="00FF5A68"/>
    <w:rsid w:val="00FF5E68"/>
    <w:rsid w:val="00FF5EA9"/>
    <w:rsid w:val="00FF5F43"/>
    <w:rsid w:val="00FF6067"/>
    <w:rsid w:val="00FF60D4"/>
    <w:rsid w:val="00FF6164"/>
    <w:rsid w:val="00FF61E3"/>
    <w:rsid w:val="00FF62EC"/>
    <w:rsid w:val="00FF6519"/>
    <w:rsid w:val="00FF6555"/>
    <w:rsid w:val="00FF6977"/>
    <w:rsid w:val="00FF6AC7"/>
    <w:rsid w:val="00FF6B07"/>
    <w:rsid w:val="00FF6E08"/>
    <w:rsid w:val="00FF716E"/>
    <w:rsid w:val="00FF726F"/>
    <w:rsid w:val="00FF74FE"/>
    <w:rsid w:val="00FF7560"/>
    <w:rsid w:val="00FF7698"/>
    <w:rsid w:val="00FF7944"/>
    <w:rsid w:val="00FF7A9F"/>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61D53B"/>
  <w15:docId w15:val="{8AE85C01-C7E7-45EF-8426-5F961A8B5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qFormat="1"/>
    <w:lsdException w:name="footnote text" w:locked="1" w:semiHidden="1" w:unhideWhenUsed="1" w:qFormat="1"/>
    <w:lsdException w:name="annotation text" w:locked="1" w:semiHidden="1" w:uiPriority="0" w:unhideWhenUsed="1"/>
    <w:lsdException w:name="header" w:locked="1" w:semiHidden="1" w:uiPriority="0" w:unhideWhenUsed="1" w:qFormat="1"/>
    <w:lsdException w:name="footer" w:locked="1" w:semiHidden="1" w:unhideWhenUsed="1"/>
    <w:lsdException w:name="index heading" w:locked="1" w:semiHidden="1" w:unhideWhenUsed="1"/>
    <w:lsdException w:name="caption" w:semiHidden="1" w:uiPriority="35" w:unhideWhenUsed="1"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iPriority="0"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numPr>
        <w:numId w:val="9"/>
      </w:numPr>
      <w:outlineLvl w:val="0"/>
    </w:pPr>
    <w:rPr>
      <w:rFonts w:ascii="Times Armenian" w:hAnsi="Times Armenian"/>
      <w:b/>
      <w:i/>
      <w:sz w:val="28"/>
      <w:szCs w:val="20"/>
    </w:rPr>
  </w:style>
  <w:style w:type="paragraph" w:styleId="Heading2">
    <w:name w:val="heading 2"/>
    <w:basedOn w:val="Normal"/>
    <w:next w:val="Normal"/>
    <w:link w:val="Heading2Char"/>
    <w:qFormat/>
    <w:rsid w:val="00DF6640"/>
    <w:pPr>
      <w:keepNext/>
      <w:spacing w:before="360" w:after="240"/>
      <w:jc w:val="both"/>
      <w:outlineLvl w:val="1"/>
    </w:pPr>
    <w:rPr>
      <w:rFonts w:ascii="GHEA Grapalat" w:hAnsi="GHEA Grapalat"/>
      <w:b/>
      <w:sz w:val="22"/>
      <w:szCs w:val="22"/>
      <w:lang w:val="de-AT"/>
    </w:rPr>
  </w:style>
  <w:style w:type="paragraph" w:styleId="Heading3">
    <w:name w:val="heading 3"/>
    <w:aliases w:val="Centered,(text),(Sub-Chapter),Heading 3 Char Char Char Char Char Char"/>
    <w:basedOn w:val="Normal"/>
    <w:next w:val="Normal"/>
    <w:link w:val="Heading3Char1"/>
    <w:uiPriority w:val="9"/>
    <w:qFormat/>
    <w:rsid w:val="002D4A3F"/>
    <w:pPr>
      <w:keepNext/>
      <w:numPr>
        <w:ilvl w:val="2"/>
        <w:numId w:val="9"/>
      </w:numPr>
      <w:spacing w:before="240" w:after="240"/>
      <w:outlineLvl w:val="2"/>
    </w:pPr>
    <w:rPr>
      <w:rFonts w:ascii="Times Armenian" w:hAnsi="Times Armenian"/>
      <w:b/>
      <w:i/>
      <w:sz w:val="26"/>
      <w:szCs w:val="20"/>
      <w:u w:val="single"/>
    </w:rPr>
  </w:style>
  <w:style w:type="paragraph" w:styleId="Heading4">
    <w:name w:val="heading 4"/>
    <w:aliases w:val="Абзац списка2,List Paragraph5,PDP DOCUMENT SUBTITLE,Table no. List Paragraph,Абзац списка3,Bullet Points,List Paragraph111,Bullet paras,OBC Bullet,Normal numbered,Titulo 2,Report Para,Number Bullets,Resume Heading 3"/>
    <w:basedOn w:val="CM4"/>
    <w:next w:val="Normal"/>
    <w:link w:val="Heading4Char2"/>
    <w:uiPriority w:val="9"/>
    <w:qFormat/>
    <w:rsid w:val="00532AB3"/>
    <w:pPr>
      <w:widowControl/>
      <w:numPr>
        <w:ilvl w:val="3"/>
        <w:numId w:val="9"/>
      </w:numPr>
      <w:autoSpaceDE/>
      <w:autoSpaceDN/>
      <w:adjustRightInd/>
      <w:spacing w:after="200" w:line="276" w:lineRule="auto"/>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numPr>
        <w:ilvl w:val="4"/>
        <w:numId w:val="9"/>
      </w:numPr>
      <w:spacing w:line="360" w:lineRule="auto"/>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numPr>
        <w:ilvl w:val="5"/>
        <w:numId w:val="9"/>
      </w:numPr>
      <w:spacing w:line="360" w:lineRule="auto"/>
      <w:jc w:val="both"/>
      <w:outlineLvl w:val="5"/>
    </w:pPr>
    <w:rPr>
      <w:rFonts w:ascii="Times Armenian" w:hAnsi="Times Armenian"/>
      <w:u w:val="single"/>
    </w:rPr>
  </w:style>
  <w:style w:type="paragraph" w:styleId="Heading7">
    <w:name w:val="heading 7"/>
    <w:basedOn w:val="Normal"/>
    <w:next w:val="Normal"/>
    <w:link w:val="Heading7Char"/>
    <w:uiPriority w:val="99"/>
    <w:qFormat/>
    <w:rsid w:val="002D4A3F"/>
    <w:pPr>
      <w:keepNext/>
      <w:numPr>
        <w:ilvl w:val="6"/>
        <w:numId w:val="9"/>
      </w:numPr>
      <w:jc w:val="both"/>
      <w:outlineLvl w:val="6"/>
    </w:pPr>
    <w:rPr>
      <w:rFonts w:ascii="Times Armenian" w:hAnsi="Times Armenian"/>
      <w:b/>
      <w:bCs/>
      <w:u w:val="single"/>
    </w:rPr>
  </w:style>
  <w:style w:type="paragraph" w:styleId="Heading8">
    <w:name w:val="heading 8"/>
    <w:basedOn w:val="Normal"/>
    <w:next w:val="Normal"/>
    <w:link w:val="Heading8Char"/>
    <w:uiPriority w:val="99"/>
    <w:qFormat/>
    <w:rsid w:val="002D4A3F"/>
    <w:pPr>
      <w:keepNext/>
      <w:numPr>
        <w:ilvl w:val="7"/>
        <w:numId w:val="9"/>
      </w:numPr>
      <w:spacing w:line="336" w:lineRule="auto"/>
      <w:jc w:val="center"/>
      <w:outlineLvl w:val="7"/>
    </w:pPr>
    <w:rPr>
      <w:rFonts w:ascii="Times Armenian" w:hAnsi="Times Armenian"/>
      <w:b/>
      <w:bCs/>
      <w:sz w:val="20"/>
    </w:rPr>
  </w:style>
  <w:style w:type="paragraph" w:styleId="Heading9">
    <w:name w:val="heading 9"/>
    <w:basedOn w:val="Normal"/>
    <w:next w:val="Normal"/>
    <w:link w:val="Heading9Char"/>
    <w:uiPriority w:val="99"/>
    <w:qFormat/>
    <w:rsid w:val="002D4A3F"/>
    <w:pPr>
      <w:numPr>
        <w:ilvl w:val="8"/>
        <w:numId w:val="9"/>
      </w:num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sid w:val="002D4A3F"/>
    <w:rPr>
      <w:rFonts w:ascii="Times Armenian" w:hAnsi="Times Armenian" w:cs="Times New Roman"/>
      <w:b/>
      <w:i/>
      <w:noProof/>
      <w:sz w:val="28"/>
      <w:lang w:val="hy-AM" w:eastAsia="en-US"/>
    </w:rPr>
  </w:style>
  <w:style w:type="character" w:customStyle="1" w:styleId="Heading2Char">
    <w:name w:val="Heading 2 Char"/>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link w:val="Heading31"/>
    <w:uiPriority w:val="9"/>
    <w:locked/>
    <w:rsid w:val="002D4A3F"/>
    <w:rPr>
      <w:rFonts w:ascii="Times Armenian" w:hAnsi="Times Armenian"/>
      <w:b/>
      <w:sz w:val="24"/>
      <w:lang w:val="en-GB"/>
    </w:rPr>
  </w:style>
  <w:style w:type="character" w:customStyle="1" w:styleId="Heading4Char">
    <w:name w:val="Heading 4 Char"/>
    <w:aliases w:val="Абзац списка2 Char,List Paragraph5 Char,Centred Char1,PDP DOCUMENT SUBTITLE Char1,Table no. List Paragraph Char1,Абзац списка3 Char1,Bullet Points Char1,List Paragraph111 Char1,Bullet paras Char1,OBC Bullet Char1"/>
    <w:uiPriority w:val="9"/>
    <w:locked/>
    <w:rsid w:val="006F0D28"/>
    <w:rPr>
      <w:rFonts w:ascii="Calibri" w:hAnsi="Calibri" w:cs="Times New Roman"/>
      <w:b/>
      <w:bCs/>
      <w:noProof/>
      <w:sz w:val="28"/>
      <w:szCs w:val="28"/>
      <w:lang w:val="hy-AM"/>
    </w:rPr>
  </w:style>
  <w:style w:type="character" w:customStyle="1" w:styleId="Heading5Char">
    <w:name w:val="Heading 5 Char"/>
    <w:aliases w:val="Side Char"/>
    <w:uiPriority w:val="9"/>
    <w:locked/>
    <w:rsid w:val="006F0D28"/>
    <w:rPr>
      <w:rFonts w:ascii="Calibri" w:hAnsi="Calibri" w:cs="Times New Roman"/>
      <w:b/>
      <w:bCs/>
      <w:i/>
      <w:iCs/>
      <w:noProof/>
      <w:sz w:val="26"/>
      <w:szCs w:val="26"/>
      <w:lang w:val="hy-AM"/>
    </w:rPr>
  </w:style>
  <w:style w:type="character" w:customStyle="1" w:styleId="Heading6Char">
    <w:name w:val="Heading 6 Char"/>
    <w:link w:val="Heading6"/>
    <w:uiPriority w:val="9"/>
    <w:locked/>
    <w:rsid w:val="002D4A3F"/>
    <w:rPr>
      <w:rFonts w:ascii="Times Armenian" w:hAnsi="Times Armenian"/>
      <w:noProof/>
      <w:sz w:val="24"/>
      <w:szCs w:val="24"/>
      <w:u w:val="single"/>
      <w:lang w:val="hy-AM"/>
    </w:rPr>
  </w:style>
  <w:style w:type="character" w:customStyle="1" w:styleId="Heading7Char">
    <w:name w:val="Heading 7 Char"/>
    <w:link w:val="Heading7"/>
    <w:uiPriority w:val="99"/>
    <w:locked/>
    <w:rsid w:val="002D4A3F"/>
    <w:rPr>
      <w:rFonts w:ascii="Times Armenian" w:hAnsi="Times Armenian"/>
      <w:b/>
      <w:bCs/>
      <w:noProof/>
      <w:sz w:val="24"/>
      <w:szCs w:val="24"/>
      <w:u w:val="single"/>
      <w:lang w:val="hy-AM"/>
    </w:rPr>
  </w:style>
  <w:style w:type="character" w:customStyle="1" w:styleId="Heading8Char">
    <w:name w:val="Heading 8 Char"/>
    <w:link w:val="Heading8"/>
    <w:uiPriority w:val="99"/>
    <w:locked/>
    <w:rsid w:val="002D4A3F"/>
    <w:rPr>
      <w:rFonts w:ascii="Times Armenian" w:hAnsi="Times Armenian"/>
      <w:b/>
      <w:bCs/>
      <w:noProof/>
      <w:szCs w:val="24"/>
      <w:lang w:val="hy-AM"/>
    </w:rPr>
  </w:style>
  <w:style w:type="character" w:customStyle="1" w:styleId="Heading9Char">
    <w:name w:val="Heading 9 Char"/>
    <w:link w:val="Heading9"/>
    <w:uiPriority w:val="99"/>
    <w:locked/>
    <w:rsid w:val="002D4A3F"/>
    <w:rPr>
      <w:sz w:val="22"/>
      <w:lang w:val="en-GB"/>
    </w:rPr>
  </w:style>
  <w:style w:type="character" w:customStyle="1" w:styleId="Heading3Char1">
    <w:name w:val="Heading 3 Char1"/>
    <w:aliases w:val="Centered Char1,(text) Char1,(Sub-Chapter) Char1,Heading 3 Char Char Char Char Char Char Char1"/>
    <w:link w:val="Heading3"/>
    <w:uiPriority w:val="9"/>
    <w:locked/>
    <w:rsid w:val="002D4A3F"/>
    <w:rPr>
      <w:rFonts w:ascii="Times Armenian" w:hAnsi="Times Armenian"/>
      <w:b/>
      <w:i/>
      <w:noProof/>
      <w:sz w:val="26"/>
      <w:u w:val="single"/>
      <w:lang w:val="hy-AM"/>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locked/>
    <w:rsid w:val="006F0D28"/>
    <w:rPr>
      <w:rFonts w:cs="Times New Roman"/>
      <w:noProof/>
      <w:sz w:val="24"/>
      <w:szCs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2,(Table Source) Char,(Table Source) Char2,(Table Source) Char Char1,Body Text Indent Char Char,(Table Source), (Table Source)"/>
    <w:basedOn w:val="Normal"/>
    <w:link w:val="BodyTextIndentChar"/>
    <w:qFormat/>
    <w:rsid w:val="002D4A3F"/>
    <w:pPr>
      <w:spacing w:line="360" w:lineRule="auto"/>
      <w:ind w:firstLine="720"/>
      <w:jc w:val="both"/>
    </w:pPr>
    <w:rPr>
      <w:rFonts w:ascii="Times Armenian" w:hAnsi="Times Armenian"/>
    </w:rPr>
  </w:style>
  <w:style w:type="character" w:customStyle="1" w:styleId="BodyTextIndentChar">
    <w:name w:val="Body Text Indent Char"/>
    <w:aliases w:val="Body Text Indent Char2 Char,(Table Source) Char Char,(Table Source) Char2 Char,(Table Source) Char Char1 Char,Body Text Indent Char Char Char,(Table Source) Char3, (Table Source) Char"/>
    <w:link w:val="BodyTextIndent"/>
    <w:locked/>
    <w:rsid w:val="006F0D28"/>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uiPriority w:val="99"/>
    <w:locked/>
    <w:rsid w:val="006F0D28"/>
    <w:rPr>
      <w:rFonts w:cs="Times New Roman"/>
      <w:noProof/>
      <w:sz w:val="20"/>
      <w:szCs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link w:val="BodyText3"/>
    <w:uiPriority w:val="99"/>
    <w:locked/>
    <w:rsid w:val="00461412"/>
    <w:rPr>
      <w:rFonts w:ascii="Times Armenian" w:hAnsi="Times Armenian" w:cs="Times New Roman"/>
      <w:noProof/>
      <w:sz w:val="22"/>
      <w:lang w:val="en-GB"/>
    </w:rPr>
  </w:style>
  <w:style w:type="character" w:styleId="PageNumber">
    <w:name w:val="page number"/>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913B53"/>
    <w:pPr>
      <w:tabs>
        <w:tab w:val="right" w:leader="dot" w:pos="10198"/>
      </w:tabs>
      <w:spacing w:line="276" w:lineRule="auto"/>
      <w:ind w:left="240"/>
      <w:jc w:val="center"/>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uiPriority w:val="99"/>
    <w:locked/>
    <w:rsid w:val="006F0D28"/>
    <w:rPr>
      <w:rFonts w:cs="Times New Roman"/>
      <w:noProof/>
      <w:sz w:val="24"/>
      <w:szCs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0">
    <w:name w:val="???????"/>
    <w:uiPriority w:val="99"/>
    <w:qFormat/>
    <w:rsid w:val="002D4A3F"/>
    <w:rPr>
      <w:sz w:val="24"/>
      <w:lang w:eastAsia="ru-RU"/>
    </w:rPr>
  </w:style>
  <w:style w:type="paragraph" w:customStyle="1" w:styleId="10">
    <w:name w:val="???????1"/>
    <w:uiPriority w:val="99"/>
    <w:qFormat/>
    <w:rsid w:val="002D4A3F"/>
    <w:rPr>
      <w:lang w:val="ru-RU" w:eastAsia="ru-RU"/>
    </w:rPr>
  </w:style>
  <w:style w:type="paragraph" w:customStyle="1" w:styleId="3">
    <w:name w:val="???????? ????? ? ????????3"/>
    <w:basedOn w:val="a0"/>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uiPriority w:val="10"/>
    <w:qFormat/>
    <w:rsid w:val="002D4A3F"/>
    <w:pPr>
      <w:jc w:val="center"/>
    </w:pPr>
    <w:rPr>
      <w:rFonts w:ascii="Arial Armenian" w:hAnsi="Arial Armenian"/>
      <w:b/>
      <w:sz w:val="28"/>
      <w:szCs w:val="20"/>
    </w:rPr>
  </w:style>
  <w:style w:type="character" w:customStyle="1" w:styleId="TitleChar">
    <w:name w:val="Title Char"/>
    <w:uiPriority w:val="10"/>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 webb, Char Char, Char, Char Char Char Char"/>
    <w:basedOn w:val="Normal"/>
    <w:link w:val="NormalWebChar"/>
    <w:uiPriority w:val="99"/>
    <w:qFormat/>
    <w:rsid w:val="00532AB3"/>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16"/>
    </w:rPr>
  </w:style>
  <w:style w:type="character" w:customStyle="1" w:styleId="BodyTextIndent3Char">
    <w:name w:val="Body Text Indent 3 Char"/>
    <w:link w:val="BodyTextIndent3"/>
    <w:uiPriority w:val="99"/>
    <w:locked/>
    <w:rsid w:val="00461412"/>
    <w:rPr>
      <w:rFonts w:cs="Times New Roman"/>
      <w:noProof/>
      <w:sz w:val="16"/>
      <w:lang w:val="hy-AM"/>
    </w:rPr>
  </w:style>
  <w:style w:type="table" w:styleId="TableGrid">
    <w:name w:val="Table Grid"/>
    <w:basedOn w:val="TableNormal"/>
    <w:uiPriority w:val="39"/>
    <w:rsid w:val="002D4A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uiPriority w:val="99"/>
    <w:locked/>
    <w:rsid w:val="002D4A3F"/>
    <w:rPr>
      <w:rFonts w:ascii="Tahoma" w:hAnsi="Tahoma" w:cs="Times New Roman"/>
      <w:noProof/>
      <w:sz w:val="16"/>
      <w:lang w:val="hy-AM" w:eastAsia="en-US"/>
    </w:rPr>
  </w:style>
  <w:style w:type="paragraph" w:customStyle="1" w:styleId="11">
    <w:name w:val="????????1"/>
    <w:basedOn w:val="a0"/>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1">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0"/>
    <w:uiPriority w:val="99"/>
    <w:qFormat/>
    <w:rsid w:val="002D4A3F"/>
    <w:pPr>
      <w:ind w:firstLine="360"/>
      <w:jc w:val="both"/>
    </w:pPr>
    <w:rPr>
      <w:rFonts w:ascii="Times Armenian" w:hAnsi="Times Armenian"/>
      <w:lang w:val="af-ZA"/>
    </w:rPr>
  </w:style>
  <w:style w:type="paragraph" w:customStyle="1" w:styleId="a2">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0"/>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sz w:val="22"/>
      <w:szCs w:val="22"/>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uiPriority w:val="99"/>
    <w:qFormat/>
    <w:rsid w:val="002D4A3F"/>
    <w:rPr>
      <w:rFonts w:cs="Times New Roman"/>
      <w:i/>
    </w:rPr>
  </w:style>
  <w:style w:type="character" w:styleId="CommentReference">
    <w:name w:val="annotation reference"/>
    <w:rsid w:val="002D4A3F"/>
    <w:rPr>
      <w:rFonts w:cs="Times New Roman"/>
      <w:sz w:val="16"/>
    </w:rPr>
  </w:style>
  <w:style w:type="paragraph" w:styleId="CommentText">
    <w:name w:val="annotation text"/>
    <w:basedOn w:val="Normal"/>
    <w:link w:val="CommentTextChar"/>
    <w:rsid w:val="0094390C"/>
    <w:rPr>
      <w:sz w:val="20"/>
      <w:szCs w:val="20"/>
    </w:rPr>
  </w:style>
  <w:style w:type="character" w:customStyle="1" w:styleId="CommentTextChar">
    <w:name w:val="Comment Text Char"/>
    <w:link w:val="CommentText"/>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bCs/>
    </w:rPr>
  </w:style>
  <w:style w:type="character" w:customStyle="1" w:styleId="CommentSubjectChar">
    <w:name w:val="Comment Subject 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character" w:customStyle="1" w:styleId="Char">
    <w:name w:val="Char"/>
    <w:uiPriority w:val="99"/>
    <w:rsid w:val="002D4A3F"/>
    <w:rPr>
      <w:rFonts w:ascii="Times Armenian" w:hAnsi="Times Armenian"/>
      <w:sz w:val="22"/>
      <w:lang w:val="en-GB" w:eastAsia="en-US"/>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2D4A3F"/>
    <w:rPr>
      <w:rFonts w:ascii="Arial" w:hAnsi="Arial"/>
      <w:noProof/>
      <w:sz w:val="18"/>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Char">
    <w:name w:val="Char Char Char Char"/>
    <w:basedOn w:val="Normal"/>
    <w:next w:val="Normal"/>
    <w:uiPriority w:val="99"/>
    <w:qFormat/>
    <w:rsid w:val="002D4A3F"/>
    <w:pPr>
      <w:spacing w:after="160" w:line="240" w:lineRule="exact"/>
    </w:pPr>
    <w:rPr>
      <w:rFonts w:ascii="Tahoma" w:hAnsi="Tahoma" w:cs="Tahoma"/>
      <w:noProof w:val="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3">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sz w:val="22"/>
      <w:szCs w:val="22"/>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noProof w:val="0"/>
      <w:sz w:val="22"/>
      <w:szCs w:val="22"/>
      <w:lang w:val="en-US"/>
    </w:rPr>
  </w:style>
  <w:style w:type="character" w:customStyle="1" w:styleId="BodyTextFirstIndentChar">
    <w:name w:val="Body Text First Indent Char"/>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rPr>
      <w:rFonts w:cs="Times New Roman"/>
    </w:rPr>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4">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4"/>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
    <w:locked/>
    <w:rsid w:val="002D4A3F"/>
    <w:rPr>
      <w:rFonts w:ascii="Times Armenian" w:hAnsi="Times Armenian"/>
      <w:b/>
      <w:i/>
      <w:noProof/>
      <w:sz w:val="28"/>
      <w:lang w:val="hy-AM"/>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bCs/>
      <w:i/>
      <w:iCs/>
      <w:noProof w:val="0"/>
      <w:color w:val="244061"/>
      <w:sz w:val="22"/>
      <w:szCs w:val="22"/>
      <w:lang w:val="en-US"/>
    </w:rPr>
  </w:style>
  <w:style w:type="character" w:customStyle="1" w:styleId="IntenseQuoteChar">
    <w:name w:val="Intense Quote Char"/>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0"/>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aliases w:val="Абзац списка2 Char1,List Paragraph5 Char1,PDP DOCUMENT SUBTITLE Char,Table no. List Paragraph Char,Абзац списка3 Char,Bullet Points Char,List Paragraph111 Char,Bullet paras Char,OBC Bullet Char,Normal numbered Char,Titulo 2 Char"/>
    <w:link w:val="Heading4"/>
    <w:uiPriority w:val="9"/>
    <w:locked/>
    <w:rsid w:val="0084243F"/>
    <w:rPr>
      <w:rFonts w:ascii="GHEA Grapalat" w:hAnsi="GHEA Grapalat"/>
      <w:b/>
      <w:i/>
      <w:sz w:val="22"/>
      <w:szCs w:val="22"/>
      <w:lang w:val="de-AT"/>
    </w:rPr>
  </w:style>
  <w:style w:type="character" w:customStyle="1" w:styleId="Heading5Char2">
    <w:name w:val="Heading 5 Char2"/>
    <w:aliases w:val="Side Char1"/>
    <w:link w:val="Heading5"/>
    <w:uiPriority w:val="9"/>
    <w:locked/>
    <w:rsid w:val="002D4A3F"/>
    <w:rPr>
      <w:rFonts w:ascii="Times Armenian" w:hAnsi="Times Armenian"/>
      <w:b/>
      <w:sz w:val="24"/>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
    <w:name w:val="Body Text Indent Char1"/>
    <w:aliases w:val="(Table Source) Char1,(Table Source) Char Char2,Body Text Indent Char2 Char1,(Table Source) Char2 Char1,(Table Source) Char Char1 Char1,(Table Source) Char Char21,Body Text Indent Char2 Char11,(Table Source) Char2 Char11"/>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link w:val="HTMLPreformatted"/>
    <w:uiPriority w:val="99"/>
    <w:locked/>
    <w:rsid w:val="0065613E"/>
    <w:rPr>
      <w:rFonts w:ascii="Courier New" w:hAnsi="Courier New" w:cs="Times New Roman"/>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6">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7">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sz w:val="22"/>
      <w:szCs w:val="22"/>
    </w:rPr>
  </w:style>
  <w:style w:type="paragraph" w:customStyle="1" w:styleId="112">
    <w:name w:val="Без интервала11"/>
    <w:uiPriority w:val="99"/>
    <w:qFormat/>
    <w:rsid w:val="00532AB3"/>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0">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sz w:val="22"/>
      <w:szCs w:val="22"/>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 webb Char, Char Char Char"/>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8">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iCs/>
      <w:noProof w:val="0"/>
      <w:sz w:val="22"/>
      <w:szCs w:val="22"/>
      <w:lang w:val="en-US"/>
    </w:rPr>
  </w:style>
  <w:style w:type="character" w:customStyle="1" w:styleId="QuoteChar">
    <w:name w:val="Quote Char"/>
    <w:link w:val="Quote"/>
    <w:uiPriority w:val="99"/>
    <w:locked/>
    <w:rsid w:val="00F51F73"/>
    <w:rPr>
      <w:rFonts w:ascii="Calibri" w:hAnsi="Calibri" w:cs="Times New Roman"/>
      <w:i/>
      <w:sz w:val="22"/>
    </w:rPr>
  </w:style>
  <w:style w:type="character" w:styleId="SubtleEmphasis">
    <w:name w:val="Subtle Emphasis"/>
    <w:uiPriority w:val="99"/>
    <w:qFormat/>
    <w:rsid w:val="00F51F73"/>
    <w:rPr>
      <w:rFonts w:cs="Times New Roman"/>
      <w:i/>
    </w:rPr>
  </w:style>
  <w:style w:type="character" w:styleId="IntenseEmphasis">
    <w:name w:val="Intense Emphasis"/>
    <w:uiPriority w:val="99"/>
    <w:qFormat/>
    <w:rsid w:val="00F51F73"/>
    <w:rPr>
      <w:rFonts w:cs="Times New Roman"/>
      <w:b/>
    </w:rPr>
  </w:style>
  <w:style w:type="character" w:styleId="SubtleReference">
    <w:name w:val="Subtle Reference"/>
    <w:uiPriority w:val="99"/>
    <w:qFormat/>
    <w:rsid w:val="00F51F73"/>
    <w:rPr>
      <w:rFonts w:cs="Times New Roman"/>
      <w:smallCaps/>
    </w:rPr>
  </w:style>
  <w:style w:type="character" w:styleId="IntenseReference">
    <w:name w:val="Intense Reference"/>
    <w:uiPriority w:val="99"/>
    <w:qFormat/>
    <w:rsid w:val="00F51F73"/>
    <w:rPr>
      <w:rFonts w:cs="Times New Roman"/>
      <w:smallCaps/>
      <w:spacing w:val="5"/>
      <w:u w:val="single"/>
    </w:rPr>
  </w:style>
  <w:style w:type="character" w:styleId="BookTitle">
    <w:name w:val="Book Title"/>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9">
    <w:name w:val="Без интервала"/>
    <w:uiPriority w:val="99"/>
    <w:rsid w:val="00686972"/>
    <w:rPr>
      <w:rFonts w:ascii="Calibri" w:hAnsi="Calibri" w:cs="Calibri"/>
      <w:sz w:val="22"/>
      <w:szCs w:val="22"/>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a">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8">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rPr>
      <w:rFonts w:cs="Times New Roman"/>
    </w:rPr>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b">
    <w:name w:val="Գծապատկեր"/>
    <w:basedOn w:val="Normal"/>
    <w:link w:val="Char0"/>
    <w:autoRedefine/>
    <w:qFormat/>
    <w:rsid w:val="00AD550E"/>
    <w:pPr>
      <w:keepNext/>
      <w:keepLines/>
      <w:tabs>
        <w:tab w:val="left" w:pos="1035"/>
        <w:tab w:val="left" w:pos="1134"/>
        <w:tab w:val="left" w:pos="1276"/>
        <w:tab w:val="left" w:pos="1418"/>
        <w:tab w:val="left" w:pos="1596"/>
      </w:tabs>
      <w:autoSpaceDE w:val="0"/>
      <w:autoSpaceDN w:val="0"/>
      <w:adjustRightInd w:val="0"/>
      <w:spacing w:line="276" w:lineRule="auto"/>
    </w:pPr>
    <w:rPr>
      <w:rFonts w:ascii="GHEA Grapalat" w:eastAsia="GHEA Grapalat" w:hAnsi="GHEA Grapalat" w:cs="GHEA Grapalat"/>
      <w:b/>
      <w:noProof w:val="0"/>
      <w:sz w:val="18"/>
      <w:szCs w:val="18"/>
    </w:rPr>
  </w:style>
  <w:style w:type="character" w:customStyle="1" w:styleId="Char0">
    <w:name w:val="Գծապատկեր Char"/>
    <w:link w:val="ab"/>
    <w:locked/>
    <w:rsid w:val="00AD550E"/>
    <w:rPr>
      <w:rFonts w:ascii="GHEA Grapalat" w:eastAsia="GHEA Grapalat" w:hAnsi="GHEA Grapalat" w:cs="GHEA Grapalat"/>
      <w:b/>
      <w:sz w:val="18"/>
      <w:szCs w:val="18"/>
      <w:lang w:val="hy-AM"/>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rPr>
      <w:rFonts w:cs="Times New Roman"/>
    </w:rPr>
  </w:style>
  <w:style w:type="character" w:customStyle="1" w:styleId="news-content">
    <w:name w:val="news-content"/>
    <w:uiPriority w:val="99"/>
    <w:rsid w:val="00742A42"/>
    <w:rPr>
      <w:rFonts w:cs="Times New Roman"/>
    </w:rPr>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sz w:val="22"/>
      <w:szCs w:val="22"/>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0">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
    <w:name w:val="Աղյուսակ"/>
    <w:basedOn w:val="Normal"/>
    <w:next w:val="Normal"/>
    <w:link w:val="Chara"/>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a">
    <w:name w:val="Աղյուսակ Char"/>
    <w:link w:val="a"/>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sz w:val="22"/>
      <w:szCs w:val="22"/>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sz w:val="22"/>
      <w:szCs w:val="22"/>
    </w:rPr>
  </w:style>
  <w:style w:type="character" w:customStyle="1" w:styleId="acopre">
    <w:name w:val="acopre"/>
    <w:uiPriority w:val="99"/>
    <w:rsid w:val="00FD2AB2"/>
    <w:rPr>
      <w:rFonts w:cs="Times New Roman"/>
    </w:rPr>
  </w:style>
  <w:style w:type="numbering" w:customStyle="1" w:styleId="Style1">
    <w:name w:val="Style1"/>
    <w:rsid w:val="00B32A78"/>
    <w:pPr>
      <w:numPr>
        <w:numId w:val="2"/>
      </w:numPr>
    </w:p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
    <w:basedOn w:val="Normal"/>
    <w:uiPriority w:val="34"/>
    <w:qFormat/>
    <w:rsid w:val="00720736"/>
    <w:pPr>
      <w:spacing w:after="200" w:line="276" w:lineRule="auto"/>
      <w:ind w:left="720"/>
      <w:contextualSpacing/>
    </w:pPr>
    <w:rPr>
      <w:rFonts w:ascii="Calibri" w:eastAsia="Calibri" w:hAnsi="Calibri" w:cs="Calibri"/>
      <w:noProof w:val="0"/>
      <w:sz w:val="22"/>
      <w:szCs w:val="22"/>
      <w:lang w:val="ru-RU" w:eastAsia="ru-RU"/>
    </w:rPr>
  </w:style>
  <w:style w:type="character" w:customStyle="1" w:styleId="mechtex0">
    <w:name w:val="mechtex Знак"/>
    <w:locked/>
    <w:rsid w:val="00720736"/>
    <w:rPr>
      <w:rFonts w:ascii="Arial Armenian" w:eastAsia="Times New Roman" w:hAnsi="Arial Armenian" w:cs="Arial Armenian"/>
      <w:kern w:val="2"/>
      <w:lang w:eastAsia="ru-RU"/>
    </w:rPr>
  </w:style>
  <w:style w:type="paragraph" w:customStyle="1" w:styleId="BodyA">
    <w:name w:val="Body A"/>
    <w:rsid w:val="001861BE"/>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eastAsia="Noto Serif CJK SC"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eastAsia="Times New Roman" w:hAnsi="Cambria" w:cs="Times New Roman"/>
      <w:i/>
      <w:iCs/>
      <w:color w:val="404040"/>
      <w:sz w:val="24"/>
      <w:szCs w:val="24"/>
    </w:rPr>
  </w:style>
  <w:style w:type="character" w:customStyle="1" w:styleId="Heading8Char1">
    <w:name w:val="Heading 8 Char1"/>
    <w:semiHidden/>
    <w:rsid w:val="00FC2F7D"/>
    <w:rPr>
      <w:rFonts w:ascii="Cambria" w:eastAsia="Times New Roman" w:hAnsi="Cambria" w:cs="Times New Roman"/>
      <w:color w:val="404040"/>
    </w:rPr>
  </w:style>
  <w:style w:type="character" w:customStyle="1" w:styleId="Heading9Char1">
    <w:name w:val="Heading 9 Char1"/>
    <w:uiPriority w:val="99"/>
    <w:semiHidden/>
    <w:rsid w:val="00FC2F7D"/>
    <w:rPr>
      <w:rFonts w:ascii="Cambria" w:eastAsia="Times New Roman" w:hAnsi="Cambria" w:cs="Times New Roman"/>
      <w:i/>
      <w:iCs/>
      <w:color w:val="404040"/>
    </w:rPr>
  </w:style>
  <w:style w:type="character" w:customStyle="1" w:styleId="BodyTextIndent2Char1">
    <w:name w:val="Body Text Indent 2 Char1"/>
    <w:semiHidden/>
    <w:rsid w:val="00FC2F7D"/>
    <w:rPr>
      <w:rFonts w:ascii="Arial Armenian" w:hAnsi="Arial Armenian"/>
      <w:sz w:val="24"/>
      <w:szCs w:val="24"/>
    </w:rPr>
  </w:style>
  <w:style w:type="character" w:customStyle="1" w:styleId="CommentSubjectChar1">
    <w:name w:val="Comment Subject Char1"/>
    <w:semiHidden/>
    <w:rsid w:val="00FC2F7D"/>
    <w:rPr>
      <w:rFonts w:ascii="Arial Armenian" w:hAnsi="Arial Armenian"/>
      <w:b/>
      <w:bCs/>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cs="Tahoma"/>
      <w:sz w:val="16"/>
      <w:szCs w:val="16"/>
    </w:rPr>
  </w:style>
  <w:style w:type="character" w:customStyle="1" w:styleId="BodyTextFirstIndentChar1">
    <w:name w:val="Body Text First Indent Char1"/>
    <w:uiPriority w:val="99"/>
    <w:semiHidden/>
    <w:rsid w:val="00FC2F7D"/>
    <w:rPr>
      <w:rFonts w:ascii="Times Armenian" w:hAnsi="Times Armenian" w:cs="Times New Roman"/>
      <w:b/>
      <w:i/>
      <w:noProof/>
      <w:sz w:val="24"/>
      <w:szCs w:val="24"/>
      <w:lang w:val="hy-AM"/>
    </w:rPr>
  </w:style>
  <w:style w:type="character" w:customStyle="1" w:styleId="IntenseQuoteChar1">
    <w:name w:val="Intense Quote Char1"/>
    <w:uiPriority w:val="99"/>
    <w:rsid w:val="00FC2F7D"/>
    <w:rPr>
      <w:rFonts w:ascii="Arial Armenian" w:hAnsi="Arial Armenian"/>
      <w:b/>
      <w:bCs/>
      <w:i/>
      <w:iCs/>
      <w:color w:val="4F81BD"/>
      <w:sz w:val="24"/>
      <w:szCs w:val="24"/>
    </w:rPr>
  </w:style>
  <w:style w:type="character" w:customStyle="1" w:styleId="PlainTextChar2">
    <w:name w:val="Plain Text Char2"/>
    <w:uiPriority w:val="99"/>
    <w:semiHidden/>
    <w:rsid w:val="00FC2F7D"/>
    <w:rPr>
      <w:rFonts w:ascii="Consolas" w:hAnsi="Consolas"/>
      <w:sz w:val="21"/>
      <w:szCs w:val="21"/>
    </w:rPr>
  </w:style>
  <w:style w:type="character" w:customStyle="1" w:styleId="TitleChar2">
    <w:name w:val="Title Char2"/>
    <w:uiPriority w:val="10"/>
    <w:rsid w:val="00FC2F7D"/>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FC2F7D"/>
    <w:rPr>
      <w:rFonts w:ascii="Cambria" w:eastAsia="Times New Roman" w:hAnsi="Cambria" w:cs="Times New Roman"/>
      <w:i/>
      <w:iCs/>
      <w:color w:val="4F81BD"/>
      <w:spacing w:val="15"/>
      <w:sz w:val="24"/>
      <w:szCs w:val="24"/>
    </w:rPr>
  </w:style>
  <w:style w:type="character" w:customStyle="1" w:styleId="QuoteChar1">
    <w:name w:val="Quote Char1"/>
    <w:uiPriority w:val="99"/>
    <w:rsid w:val="00FC2F7D"/>
    <w:rPr>
      <w:rFonts w:ascii="Arial Armenian" w:hAnsi="Arial Armenian"/>
      <w:i/>
      <w:iCs/>
      <w:color w:val="000000"/>
      <w:sz w:val="24"/>
      <w:szCs w:val="24"/>
    </w:rPr>
  </w:style>
  <w:style w:type="table" w:customStyle="1" w:styleId="TableGrid14212">
    <w:name w:val="Table Grid14212"/>
    <w:basedOn w:val="TableNormal"/>
    <w:uiPriority w:val="39"/>
    <w:rsid w:val="00FC2F7D"/>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uiPriority w:val="39"/>
    <w:rsid w:val="00FC2F7D"/>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uiPriority w:val="39"/>
    <w:rsid w:val="00FC2F7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FC2F7D"/>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
    <w:name w:val="Стиль1"/>
    <w:uiPriority w:val="99"/>
    <w:rsid w:val="00FC2F7D"/>
    <w:pPr>
      <w:numPr>
        <w:numId w:val="6"/>
      </w:numPr>
    </w:pPr>
  </w:style>
  <w:style w:type="numbering" w:customStyle="1" w:styleId="NoList1">
    <w:name w:val="No List1"/>
    <w:next w:val="NoList"/>
    <w:semiHidden/>
    <w:rsid w:val="00F023DC"/>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unhideWhenUsed/>
    <w:rsid w:val="00681A5B"/>
    <w:rPr>
      <w:color w:val="605E5C"/>
      <w:shd w:val="clear" w:color="auto" w:fill="E1DFDD"/>
    </w:rPr>
  </w:style>
  <w:style w:type="paragraph" w:customStyle="1" w:styleId="Ac">
    <w:name w:val="Основной текст A"/>
    <w:rsid w:val="00695F26"/>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rPr>
  </w:style>
  <w:style w:type="character" w:customStyle="1" w:styleId="UnresolvedMention3">
    <w:name w:val="Unresolved Mention3"/>
    <w:uiPriority w:val="99"/>
    <w:semiHidden/>
    <w:unhideWhenUsed/>
    <w:rsid w:val="00401A48"/>
    <w:rPr>
      <w:color w:val="605E5C"/>
      <w:shd w:val="clear" w:color="auto" w:fill="E1DFDD"/>
    </w:rPr>
  </w:style>
  <w:style w:type="character" w:customStyle="1" w:styleId="FontStyle11">
    <w:name w:val="Font Style11"/>
    <w:rsid w:val="00401A48"/>
    <w:rPr>
      <w:rFonts w:ascii="Arial Unicode MS" w:hAnsi="Arial Unicode MS" w:cs="Arial Unicode MS"/>
      <w:b/>
      <w:bCs/>
      <w:sz w:val="30"/>
      <w:szCs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rFonts w:cs="Calibri"/>
      <w:lang w:eastAsia="hy-AM"/>
    </w:rPr>
  </w:style>
  <w:style w:type="paragraph" w:customStyle="1" w:styleId="Bulleted">
    <w:name w:val="Bulleted"/>
    <w:basedOn w:val="Normal"/>
    <w:link w:val="BulletedChar"/>
    <w:qFormat/>
    <w:rsid w:val="005E4A11"/>
    <w:pPr>
      <w:numPr>
        <w:numId w:val="7"/>
      </w:numPr>
    </w:pPr>
    <w:rPr>
      <w:rFonts w:cs="Calibri"/>
      <w:noProof w:val="0"/>
      <w:sz w:val="20"/>
      <w:szCs w:val="20"/>
      <w:lang w:val="en-US" w:eastAsia="hy-AM"/>
    </w:rPr>
  </w:style>
  <w:style w:type="table" w:customStyle="1" w:styleId="TableGrid1">
    <w:name w:val="Table Grid1"/>
    <w:basedOn w:val="TableNormal"/>
    <w:next w:val="TableGrid"/>
    <w:uiPriority w:val="39"/>
    <w:rsid w:val="006A49E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11">
    <w:name w:val="List Table 4 - Accent 11"/>
    <w:basedOn w:val="TableNormal"/>
    <w:uiPriority w:val="49"/>
    <w:rsid w:val="00400A22"/>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Heading31">
    <w:name w:val="Heading 31"/>
    <w:basedOn w:val="Heading3"/>
    <w:link w:val="Heading3Char"/>
    <w:uiPriority w:val="9"/>
    <w:qFormat/>
    <w:rsid w:val="009C57EB"/>
    <w:pPr>
      <w:keepLines/>
      <w:numPr>
        <w:ilvl w:val="0"/>
        <w:numId w:val="0"/>
      </w:numPr>
      <w:spacing w:before="0" w:line="259" w:lineRule="auto"/>
      <w:ind w:left="720" w:hanging="720"/>
    </w:pPr>
    <w:rPr>
      <w:i w:val="0"/>
      <w:noProof w:val="0"/>
      <w:sz w:val="24"/>
      <w:u w:val="none"/>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29382">
      <w:bodyDiv w:val="1"/>
      <w:marLeft w:val="0"/>
      <w:marRight w:val="0"/>
      <w:marTop w:val="0"/>
      <w:marBottom w:val="0"/>
      <w:divBdr>
        <w:top w:val="none" w:sz="0" w:space="0" w:color="auto"/>
        <w:left w:val="none" w:sz="0" w:space="0" w:color="auto"/>
        <w:bottom w:val="none" w:sz="0" w:space="0" w:color="auto"/>
        <w:right w:val="none" w:sz="0" w:space="0" w:color="auto"/>
      </w:divBdr>
    </w:div>
    <w:div w:id="21102684">
      <w:bodyDiv w:val="1"/>
      <w:marLeft w:val="0"/>
      <w:marRight w:val="0"/>
      <w:marTop w:val="0"/>
      <w:marBottom w:val="0"/>
      <w:divBdr>
        <w:top w:val="none" w:sz="0" w:space="0" w:color="auto"/>
        <w:left w:val="none" w:sz="0" w:space="0" w:color="auto"/>
        <w:bottom w:val="none" w:sz="0" w:space="0" w:color="auto"/>
        <w:right w:val="none" w:sz="0" w:space="0" w:color="auto"/>
      </w:divBdr>
    </w:div>
    <w:div w:id="101340571">
      <w:bodyDiv w:val="1"/>
      <w:marLeft w:val="0"/>
      <w:marRight w:val="0"/>
      <w:marTop w:val="0"/>
      <w:marBottom w:val="0"/>
      <w:divBdr>
        <w:top w:val="none" w:sz="0" w:space="0" w:color="auto"/>
        <w:left w:val="none" w:sz="0" w:space="0" w:color="auto"/>
        <w:bottom w:val="none" w:sz="0" w:space="0" w:color="auto"/>
        <w:right w:val="none" w:sz="0" w:space="0" w:color="auto"/>
      </w:divBdr>
    </w:div>
    <w:div w:id="105271331">
      <w:bodyDiv w:val="1"/>
      <w:marLeft w:val="0"/>
      <w:marRight w:val="0"/>
      <w:marTop w:val="0"/>
      <w:marBottom w:val="0"/>
      <w:divBdr>
        <w:top w:val="none" w:sz="0" w:space="0" w:color="auto"/>
        <w:left w:val="none" w:sz="0" w:space="0" w:color="auto"/>
        <w:bottom w:val="none" w:sz="0" w:space="0" w:color="auto"/>
        <w:right w:val="none" w:sz="0" w:space="0" w:color="auto"/>
      </w:divBdr>
    </w:div>
    <w:div w:id="147482748">
      <w:bodyDiv w:val="1"/>
      <w:marLeft w:val="0"/>
      <w:marRight w:val="0"/>
      <w:marTop w:val="0"/>
      <w:marBottom w:val="0"/>
      <w:divBdr>
        <w:top w:val="none" w:sz="0" w:space="0" w:color="auto"/>
        <w:left w:val="none" w:sz="0" w:space="0" w:color="auto"/>
        <w:bottom w:val="none" w:sz="0" w:space="0" w:color="auto"/>
        <w:right w:val="none" w:sz="0" w:space="0" w:color="auto"/>
      </w:divBdr>
    </w:div>
    <w:div w:id="147598561">
      <w:bodyDiv w:val="1"/>
      <w:marLeft w:val="0"/>
      <w:marRight w:val="0"/>
      <w:marTop w:val="0"/>
      <w:marBottom w:val="0"/>
      <w:divBdr>
        <w:top w:val="none" w:sz="0" w:space="0" w:color="auto"/>
        <w:left w:val="none" w:sz="0" w:space="0" w:color="auto"/>
        <w:bottom w:val="none" w:sz="0" w:space="0" w:color="auto"/>
        <w:right w:val="none" w:sz="0" w:space="0" w:color="auto"/>
      </w:divBdr>
    </w:div>
    <w:div w:id="172691912">
      <w:bodyDiv w:val="1"/>
      <w:marLeft w:val="0"/>
      <w:marRight w:val="0"/>
      <w:marTop w:val="0"/>
      <w:marBottom w:val="0"/>
      <w:divBdr>
        <w:top w:val="none" w:sz="0" w:space="0" w:color="auto"/>
        <w:left w:val="none" w:sz="0" w:space="0" w:color="auto"/>
        <w:bottom w:val="none" w:sz="0" w:space="0" w:color="auto"/>
        <w:right w:val="none" w:sz="0" w:space="0" w:color="auto"/>
      </w:divBdr>
    </w:div>
    <w:div w:id="194082336">
      <w:bodyDiv w:val="1"/>
      <w:marLeft w:val="0"/>
      <w:marRight w:val="0"/>
      <w:marTop w:val="0"/>
      <w:marBottom w:val="0"/>
      <w:divBdr>
        <w:top w:val="none" w:sz="0" w:space="0" w:color="auto"/>
        <w:left w:val="none" w:sz="0" w:space="0" w:color="auto"/>
        <w:bottom w:val="none" w:sz="0" w:space="0" w:color="auto"/>
        <w:right w:val="none" w:sz="0" w:space="0" w:color="auto"/>
      </w:divBdr>
    </w:div>
    <w:div w:id="196048492">
      <w:bodyDiv w:val="1"/>
      <w:marLeft w:val="0"/>
      <w:marRight w:val="0"/>
      <w:marTop w:val="0"/>
      <w:marBottom w:val="0"/>
      <w:divBdr>
        <w:top w:val="none" w:sz="0" w:space="0" w:color="auto"/>
        <w:left w:val="none" w:sz="0" w:space="0" w:color="auto"/>
        <w:bottom w:val="none" w:sz="0" w:space="0" w:color="auto"/>
        <w:right w:val="none" w:sz="0" w:space="0" w:color="auto"/>
      </w:divBdr>
    </w:div>
    <w:div w:id="198663648">
      <w:bodyDiv w:val="1"/>
      <w:marLeft w:val="0"/>
      <w:marRight w:val="0"/>
      <w:marTop w:val="0"/>
      <w:marBottom w:val="0"/>
      <w:divBdr>
        <w:top w:val="none" w:sz="0" w:space="0" w:color="auto"/>
        <w:left w:val="none" w:sz="0" w:space="0" w:color="auto"/>
        <w:bottom w:val="none" w:sz="0" w:space="0" w:color="auto"/>
        <w:right w:val="none" w:sz="0" w:space="0" w:color="auto"/>
      </w:divBdr>
    </w:div>
    <w:div w:id="207498056">
      <w:bodyDiv w:val="1"/>
      <w:marLeft w:val="0"/>
      <w:marRight w:val="0"/>
      <w:marTop w:val="0"/>
      <w:marBottom w:val="0"/>
      <w:divBdr>
        <w:top w:val="none" w:sz="0" w:space="0" w:color="auto"/>
        <w:left w:val="none" w:sz="0" w:space="0" w:color="auto"/>
        <w:bottom w:val="none" w:sz="0" w:space="0" w:color="auto"/>
        <w:right w:val="none" w:sz="0" w:space="0" w:color="auto"/>
      </w:divBdr>
    </w:div>
    <w:div w:id="236475855">
      <w:bodyDiv w:val="1"/>
      <w:marLeft w:val="0"/>
      <w:marRight w:val="0"/>
      <w:marTop w:val="0"/>
      <w:marBottom w:val="0"/>
      <w:divBdr>
        <w:top w:val="none" w:sz="0" w:space="0" w:color="auto"/>
        <w:left w:val="none" w:sz="0" w:space="0" w:color="auto"/>
        <w:bottom w:val="none" w:sz="0" w:space="0" w:color="auto"/>
        <w:right w:val="none" w:sz="0" w:space="0" w:color="auto"/>
      </w:divBdr>
    </w:div>
    <w:div w:id="239292519">
      <w:bodyDiv w:val="1"/>
      <w:marLeft w:val="0"/>
      <w:marRight w:val="0"/>
      <w:marTop w:val="0"/>
      <w:marBottom w:val="0"/>
      <w:divBdr>
        <w:top w:val="none" w:sz="0" w:space="0" w:color="auto"/>
        <w:left w:val="none" w:sz="0" w:space="0" w:color="auto"/>
        <w:bottom w:val="none" w:sz="0" w:space="0" w:color="auto"/>
        <w:right w:val="none" w:sz="0" w:space="0" w:color="auto"/>
      </w:divBdr>
    </w:div>
    <w:div w:id="244732790">
      <w:bodyDiv w:val="1"/>
      <w:marLeft w:val="0"/>
      <w:marRight w:val="0"/>
      <w:marTop w:val="0"/>
      <w:marBottom w:val="0"/>
      <w:divBdr>
        <w:top w:val="none" w:sz="0" w:space="0" w:color="auto"/>
        <w:left w:val="none" w:sz="0" w:space="0" w:color="auto"/>
        <w:bottom w:val="none" w:sz="0" w:space="0" w:color="auto"/>
        <w:right w:val="none" w:sz="0" w:space="0" w:color="auto"/>
      </w:divBdr>
    </w:div>
    <w:div w:id="249706451">
      <w:bodyDiv w:val="1"/>
      <w:marLeft w:val="0"/>
      <w:marRight w:val="0"/>
      <w:marTop w:val="0"/>
      <w:marBottom w:val="0"/>
      <w:divBdr>
        <w:top w:val="none" w:sz="0" w:space="0" w:color="auto"/>
        <w:left w:val="none" w:sz="0" w:space="0" w:color="auto"/>
        <w:bottom w:val="none" w:sz="0" w:space="0" w:color="auto"/>
        <w:right w:val="none" w:sz="0" w:space="0" w:color="auto"/>
      </w:divBdr>
    </w:div>
    <w:div w:id="376125153">
      <w:bodyDiv w:val="1"/>
      <w:marLeft w:val="0"/>
      <w:marRight w:val="0"/>
      <w:marTop w:val="0"/>
      <w:marBottom w:val="0"/>
      <w:divBdr>
        <w:top w:val="none" w:sz="0" w:space="0" w:color="auto"/>
        <w:left w:val="none" w:sz="0" w:space="0" w:color="auto"/>
        <w:bottom w:val="none" w:sz="0" w:space="0" w:color="auto"/>
        <w:right w:val="none" w:sz="0" w:space="0" w:color="auto"/>
      </w:divBdr>
    </w:div>
    <w:div w:id="393166490">
      <w:bodyDiv w:val="1"/>
      <w:marLeft w:val="0"/>
      <w:marRight w:val="0"/>
      <w:marTop w:val="0"/>
      <w:marBottom w:val="0"/>
      <w:divBdr>
        <w:top w:val="none" w:sz="0" w:space="0" w:color="auto"/>
        <w:left w:val="none" w:sz="0" w:space="0" w:color="auto"/>
        <w:bottom w:val="none" w:sz="0" w:space="0" w:color="auto"/>
        <w:right w:val="none" w:sz="0" w:space="0" w:color="auto"/>
      </w:divBdr>
    </w:div>
    <w:div w:id="401023763">
      <w:bodyDiv w:val="1"/>
      <w:marLeft w:val="0"/>
      <w:marRight w:val="0"/>
      <w:marTop w:val="0"/>
      <w:marBottom w:val="0"/>
      <w:divBdr>
        <w:top w:val="none" w:sz="0" w:space="0" w:color="auto"/>
        <w:left w:val="none" w:sz="0" w:space="0" w:color="auto"/>
        <w:bottom w:val="none" w:sz="0" w:space="0" w:color="auto"/>
        <w:right w:val="none" w:sz="0" w:space="0" w:color="auto"/>
      </w:divBdr>
    </w:div>
    <w:div w:id="419567016">
      <w:bodyDiv w:val="1"/>
      <w:marLeft w:val="0"/>
      <w:marRight w:val="0"/>
      <w:marTop w:val="0"/>
      <w:marBottom w:val="0"/>
      <w:divBdr>
        <w:top w:val="none" w:sz="0" w:space="0" w:color="auto"/>
        <w:left w:val="none" w:sz="0" w:space="0" w:color="auto"/>
        <w:bottom w:val="none" w:sz="0" w:space="0" w:color="auto"/>
        <w:right w:val="none" w:sz="0" w:space="0" w:color="auto"/>
      </w:divBdr>
    </w:div>
    <w:div w:id="433281937">
      <w:bodyDiv w:val="1"/>
      <w:marLeft w:val="0"/>
      <w:marRight w:val="0"/>
      <w:marTop w:val="0"/>
      <w:marBottom w:val="0"/>
      <w:divBdr>
        <w:top w:val="none" w:sz="0" w:space="0" w:color="auto"/>
        <w:left w:val="none" w:sz="0" w:space="0" w:color="auto"/>
        <w:bottom w:val="none" w:sz="0" w:space="0" w:color="auto"/>
        <w:right w:val="none" w:sz="0" w:space="0" w:color="auto"/>
      </w:divBdr>
    </w:div>
    <w:div w:id="451751329">
      <w:bodyDiv w:val="1"/>
      <w:marLeft w:val="0"/>
      <w:marRight w:val="0"/>
      <w:marTop w:val="0"/>
      <w:marBottom w:val="0"/>
      <w:divBdr>
        <w:top w:val="none" w:sz="0" w:space="0" w:color="auto"/>
        <w:left w:val="none" w:sz="0" w:space="0" w:color="auto"/>
        <w:bottom w:val="none" w:sz="0" w:space="0" w:color="auto"/>
        <w:right w:val="none" w:sz="0" w:space="0" w:color="auto"/>
      </w:divBdr>
    </w:div>
    <w:div w:id="473064351">
      <w:bodyDiv w:val="1"/>
      <w:marLeft w:val="0"/>
      <w:marRight w:val="0"/>
      <w:marTop w:val="0"/>
      <w:marBottom w:val="0"/>
      <w:divBdr>
        <w:top w:val="none" w:sz="0" w:space="0" w:color="auto"/>
        <w:left w:val="none" w:sz="0" w:space="0" w:color="auto"/>
        <w:bottom w:val="none" w:sz="0" w:space="0" w:color="auto"/>
        <w:right w:val="none" w:sz="0" w:space="0" w:color="auto"/>
      </w:divBdr>
    </w:div>
    <w:div w:id="478616270">
      <w:bodyDiv w:val="1"/>
      <w:marLeft w:val="0"/>
      <w:marRight w:val="0"/>
      <w:marTop w:val="0"/>
      <w:marBottom w:val="0"/>
      <w:divBdr>
        <w:top w:val="none" w:sz="0" w:space="0" w:color="auto"/>
        <w:left w:val="none" w:sz="0" w:space="0" w:color="auto"/>
        <w:bottom w:val="none" w:sz="0" w:space="0" w:color="auto"/>
        <w:right w:val="none" w:sz="0" w:space="0" w:color="auto"/>
      </w:divBdr>
    </w:div>
    <w:div w:id="533229909">
      <w:bodyDiv w:val="1"/>
      <w:marLeft w:val="0"/>
      <w:marRight w:val="0"/>
      <w:marTop w:val="0"/>
      <w:marBottom w:val="0"/>
      <w:divBdr>
        <w:top w:val="none" w:sz="0" w:space="0" w:color="auto"/>
        <w:left w:val="none" w:sz="0" w:space="0" w:color="auto"/>
        <w:bottom w:val="none" w:sz="0" w:space="0" w:color="auto"/>
        <w:right w:val="none" w:sz="0" w:space="0" w:color="auto"/>
      </w:divBdr>
    </w:div>
    <w:div w:id="561257087">
      <w:bodyDiv w:val="1"/>
      <w:marLeft w:val="0"/>
      <w:marRight w:val="0"/>
      <w:marTop w:val="0"/>
      <w:marBottom w:val="0"/>
      <w:divBdr>
        <w:top w:val="none" w:sz="0" w:space="0" w:color="auto"/>
        <w:left w:val="none" w:sz="0" w:space="0" w:color="auto"/>
        <w:bottom w:val="none" w:sz="0" w:space="0" w:color="auto"/>
        <w:right w:val="none" w:sz="0" w:space="0" w:color="auto"/>
      </w:divBdr>
    </w:div>
    <w:div w:id="575675903">
      <w:bodyDiv w:val="1"/>
      <w:marLeft w:val="0"/>
      <w:marRight w:val="0"/>
      <w:marTop w:val="0"/>
      <w:marBottom w:val="0"/>
      <w:divBdr>
        <w:top w:val="none" w:sz="0" w:space="0" w:color="auto"/>
        <w:left w:val="none" w:sz="0" w:space="0" w:color="auto"/>
        <w:bottom w:val="none" w:sz="0" w:space="0" w:color="auto"/>
        <w:right w:val="none" w:sz="0" w:space="0" w:color="auto"/>
      </w:divBdr>
    </w:div>
    <w:div w:id="601496935">
      <w:bodyDiv w:val="1"/>
      <w:marLeft w:val="0"/>
      <w:marRight w:val="0"/>
      <w:marTop w:val="0"/>
      <w:marBottom w:val="0"/>
      <w:divBdr>
        <w:top w:val="none" w:sz="0" w:space="0" w:color="auto"/>
        <w:left w:val="none" w:sz="0" w:space="0" w:color="auto"/>
        <w:bottom w:val="none" w:sz="0" w:space="0" w:color="auto"/>
        <w:right w:val="none" w:sz="0" w:space="0" w:color="auto"/>
      </w:divBdr>
    </w:div>
    <w:div w:id="637493719">
      <w:bodyDiv w:val="1"/>
      <w:marLeft w:val="0"/>
      <w:marRight w:val="0"/>
      <w:marTop w:val="0"/>
      <w:marBottom w:val="0"/>
      <w:divBdr>
        <w:top w:val="none" w:sz="0" w:space="0" w:color="auto"/>
        <w:left w:val="none" w:sz="0" w:space="0" w:color="auto"/>
        <w:bottom w:val="none" w:sz="0" w:space="0" w:color="auto"/>
        <w:right w:val="none" w:sz="0" w:space="0" w:color="auto"/>
      </w:divBdr>
    </w:div>
    <w:div w:id="717362636">
      <w:bodyDiv w:val="1"/>
      <w:marLeft w:val="0"/>
      <w:marRight w:val="0"/>
      <w:marTop w:val="0"/>
      <w:marBottom w:val="0"/>
      <w:divBdr>
        <w:top w:val="none" w:sz="0" w:space="0" w:color="auto"/>
        <w:left w:val="none" w:sz="0" w:space="0" w:color="auto"/>
        <w:bottom w:val="none" w:sz="0" w:space="0" w:color="auto"/>
        <w:right w:val="none" w:sz="0" w:space="0" w:color="auto"/>
      </w:divBdr>
    </w:div>
    <w:div w:id="742987921">
      <w:bodyDiv w:val="1"/>
      <w:marLeft w:val="0"/>
      <w:marRight w:val="0"/>
      <w:marTop w:val="0"/>
      <w:marBottom w:val="0"/>
      <w:divBdr>
        <w:top w:val="none" w:sz="0" w:space="0" w:color="auto"/>
        <w:left w:val="none" w:sz="0" w:space="0" w:color="auto"/>
        <w:bottom w:val="none" w:sz="0" w:space="0" w:color="auto"/>
        <w:right w:val="none" w:sz="0" w:space="0" w:color="auto"/>
      </w:divBdr>
    </w:div>
    <w:div w:id="750464557">
      <w:bodyDiv w:val="1"/>
      <w:marLeft w:val="0"/>
      <w:marRight w:val="0"/>
      <w:marTop w:val="0"/>
      <w:marBottom w:val="0"/>
      <w:divBdr>
        <w:top w:val="none" w:sz="0" w:space="0" w:color="auto"/>
        <w:left w:val="none" w:sz="0" w:space="0" w:color="auto"/>
        <w:bottom w:val="none" w:sz="0" w:space="0" w:color="auto"/>
        <w:right w:val="none" w:sz="0" w:space="0" w:color="auto"/>
      </w:divBdr>
    </w:div>
    <w:div w:id="773593654">
      <w:bodyDiv w:val="1"/>
      <w:marLeft w:val="0"/>
      <w:marRight w:val="0"/>
      <w:marTop w:val="0"/>
      <w:marBottom w:val="0"/>
      <w:divBdr>
        <w:top w:val="none" w:sz="0" w:space="0" w:color="auto"/>
        <w:left w:val="none" w:sz="0" w:space="0" w:color="auto"/>
        <w:bottom w:val="none" w:sz="0" w:space="0" w:color="auto"/>
        <w:right w:val="none" w:sz="0" w:space="0" w:color="auto"/>
      </w:divBdr>
    </w:div>
    <w:div w:id="825978865">
      <w:bodyDiv w:val="1"/>
      <w:marLeft w:val="0"/>
      <w:marRight w:val="0"/>
      <w:marTop w:val="0"/>
      <w:marBottom w:val="0"/>
      <w:divBdr>
        <w:top w:val="none" w:sz="0" w:space="0" w:color="auto"/>
        <w:left w:val="none" w:sz="0" w:space="0" w:color="auto"/>
        <w:bottom w:val="none" w:sz="0" w:space="0" w:color="auto"/>
        <w:right w:val="none" w:sz="0" w:space="0" w:color="auto"/>
      </w:divBdr>
    </w:div>
    <w:div w:id="859125822">
      <w:bodyDiv w:val="1"/>
      <w:marLeft w:val="0"/>
      <w:marRight w:val="0"/>
      <w:marTop w:val="0"/>
      <w:marBottom w:val="0"/>
      <w:divBdr>
        <w:top w:val="none" w:sz="0" w:space="0" w:color="auto"/>
        <w:left w:val="none" w:sz="0" w:space="0" w:color="auto"/>
        <w:bottom w:val="none" w:sz="0" w:space="0" w:color="auto"/>
        <w:right w:val="none" w:sz="0" w:space="0" w:color="auto"/>
      </w:divBdr>
    </w:div>
    <w:div w:id="859317184">
      <w:bodyDiv w:val="1"/>
      <w:marLeft w:val="0"/>
      <w:marRight w:val="0"/>
      <w:marTop w:val="0"/>
      <w:marBottom w:val="0"/>
      <w:divBdr>
        <w:top w:val="none" w:sz="0" w:space="0" w:color="auto"/>
        <w:left w:val="none" w:sz="0" w:space="0" w:color="auto"/>
        <w:bottom w:val="none" w:sz="0" w:space="0" w:color="auto"/>
        <w:right w:val="none" w:sz="0" w:space="0" w:color="auto"/>
      </w:divBdr>
    </w:div>
    <w:div w:id="875236271">
      <w:bodyDiv w:val="1"/>
      <w:marLeft w:val="0"/>
      <w:marRight w:val="0"/>
      <w:marTop w:val="0"/>
      <w:marBottom w:val="0"/>
      <w:divBdr>
        <w:top w:val="none" w:sz="0" w:space="0" w:color="auto"/>
        <w:left w:val="none" w:sz="0" w:space="0" w:color="auto"/>
        <w:bottom w:val="none" w:sz="0" w:space="0" w:color="auto"/>
        <w:right w:val="none" w:sz="0" w:space="0" w:color="auto"/>
      </w:divBdr>
    </w:div>
    <w:div w:id="898399655">
      <w:bodyDiv w:val="1"/>
      <w:marLeft w:val="0"/>
      <w:marRight w:val="0"/>
      <w:marTop w:val="0"/>
      <w:marBottom w:val="0"/>
      <w:divBdr>
        <w:top w:val="none" w:sz="0" w:space="0" w:color="auto"/>
        <w:left w:val="none" w:sz="0" w:space="0" w:color="auto"/>
        <w:bottom w:val="none" w:sz="0" w:space="0" w:color="auto"/>
        <w:right w:val="none" w:sz="0" w:space="0" w:color="auto"/>
      </w:divBdr>
    </w:div>
    <w:div w:id="900365607">
      <w:bodyDiv w:val="1"/>
      <w:marLeft w:val="0"/>
      <w:marRight w:val="0"/>
      <w:marTop w:val="0"/>
      <w:marBottom w:val="0"/>
      <w:divBdr>
        <w:top w:val="none" w:sz="0" w:space="0" w:color="auto"/>
        <w:left w:val="none" w:sz="0" w:space="0" w:color="auto"/>
        <w:bottom w:val="none" w:sz="0" w:space="0" w:color="auto"/>
        <w:right w:val="none" w:sz="0" w:space="0" w:color="auto"/>
      </w:divBdr>
    </w:div>
    <w:div w:id="908272228">
      <w:bodyDiv w:val="1"/>
      <w:marLeft w:val="0"/>
      <w:marRight w:val="0"/>
      <w:marTop w:val="0"/>
      <w:marBottom w:val="0"/>
      <w:divBdr>
        <w:top w:val="none" w:sz="0" w:space="0" w:color="auto"/>
        <w:left w:val="none" w:sz="0" w:space="0" w:color="auto"/>
        <w:bottom w:val="none" w:sz="0" w:space="0" w:color="auto"/>
        <w:right w:val="none" w:sz="0" w:space="0" w:color="auto"/>
      </w:divBdr>
    </w:div>
    <w:div w:id="974339060">
      <w:bodyDiv w:val="1"/>
      <w:marLeft w:val="0"/>
      <w:marRight w:val="0"/>
      <w:marTop w:val="0"/>
      <w:marBottom w:val="0"/>
      <w:divBdr>
        <w:top w:val="none" w:sz="0" w:space="0" w:color="auto"/>
        <w:left w:val="none" w:sz="0" w:space="0" w:color="auto"/>
        <w:bottom w:val="none" w:sz="0" w:space="0" w:color="auto"/>
        <w:right w:val="none" w:sz="0" w:space="0" w:color="auto"/>
      </w:divBdr>
    </w:div>
    <w:div w:id="1033309215">
      <w:bodyDiv w:val="1"/>
      <w:marLeft w:val="0"/>
      <w:marRight w:val="0"/>
      <w:marTop w:val="0"/>
      <w:marBottom w:val="0"/>
      <w:divBdr>
        <w:top w:val="none" w:sz="0" w:space="0" w:color="auto"/>
        <w:left w:val="none" w:sz="0" w:space="0" w:color="auto"/>
        <w:bottom w:val="none" w:sz="0" w:space="0" w:color="auto"/>
        <w:right w:val="none" w:sz="0" w:space="0" w:color="auto"/>
      </w:divBdr>
    </w:div>
    <w:div w:id="1037580187">
      <w:bodyDiv w:val="1"/>
      <w:marLeft w:val="0"/>
      <w:marRight w:val="0"/>
      <w:marTop w:val="0"/>
      <w:marBottom w:val="0"/>
      <w:divBdr>
        <w:top w:val="none" w:sz="0" w:space="0" w:color="auto"/>
        <w:left w:val="none" w:sz="0" w:space="0" w:color="auto"/>
        <w:bottom w:val="none" w:sz="0" w:space="0" w:color="auto"/>
        <w:right w:val="none" w:sz="0" w:space="0" w:color="auto"/>
      </w:divBdr>
    </w:div>
    <w:div w:id="1067263518">
      <w:bodyDiv w:val="1"/>
      <w:marLeft w:val="0"/>
      <w:marRight w:val="0"/>
      <w:marTop w:val="0"/>
      <w:marBottom w:val="0"/>
      <w:divBdr>
        <w:top w:val="none" w:sz="0" w:space="0" w:color="auto"/>
        <w:left w:val="none" w:sz="0" w:space="0" w:color="auto"/>
        <w:bottom w:val="none" w:sz="0" w:space="0" w:color="auto"/>
        <w:right w:val="none" w:sz="0" w:space="0" w:color="auto"/>
      </w:divBdr>
    </w:div>
    <w:div w:id="1082214590">
      <w:bodyDiv w:val="1"/>
      <w:marLeft w:val="0"/>
      <w:marRight w:val="0"/>
      <w:marTop w:val="0"/>
      <w:marBottom w:val="0"/>
      <w:divBdr>
        <w:top w:val="none" w:sz="0" w:space="0" w:color="auto"/>
        <w:left w:val="none" w:sz="0" w:space="0" w:color="auto"/>
        <w:bottom w:val="none" w:sz="0" w:space="0" w:color="auto"/>
        <w:right w:val="none" w:sz="0" w:space="0" w:color="auto"/>
      </w:divBdr>
    </w:div>
    <w:div w:id="1082601757">
      <w:bodyDiv w:val="1"/>
      <w:marLeft w:val="0"/>
      <w:marRight w:val="0"/>
      <w:marTop w:val="0"/>
      <w:marBottom w:val="0"/>
      <w:divBdr>
        <w:top w:val="none" w:sz="0" w:space="0" w:color="auto"/>
        <w:left w:val="none" w:sz="0" w:space="0" w:color="auto"/>
        <w:bottom w:val="none" w:sz="0" w:space="0" w:color="auto"/>
        <w:right w:val="none" w:sz="0" w:space="0" w:color="auto"/>
      </w:divBdr>
    </w:div>
    <w:div w:id="1092243954">
      <w:bodyDiv w:val="1"/>
      <w:marLeft w:val="0"/>
      <w:marRight w:val="0"/>
      <w:marTop w:val="0"/>
      <w:marBottom w:val="0"/>
      <w:divBdr>
        <w:top w:val="none" w:sz="0" w:space="0" w:color="auto"/>
        <w:left w:val="none" w:sz="0" w:space="0" w:color="auto"/>
        <w:bottom w:val="none" w:sz="0" w:space="0" w:color="auto"/>
        <w:right w:val="none" w:sz="0" w:space="0" w:color="auto"/>
      </w:divBdr>
    </w:div>
    <w:div w:id="1114441722">
      <w:bodyDiv w:val="1"/>
      <w:marLeft w:val="0"/>
      <w:marRight w:val="0"/>
      <w:marTop w:val="0"/>
      <w:marBottom w:val="0"/>
      <w:divBdr>
        <w:top w:val="none" w:sz="0" w:space="0" w:color="auto"/>
        <w:left w:val="none" w:sz="0" w:space="0" w:color="auto"/>
        <w:bottom w:val="none" w:sz="0" w:space="0" w:color="auto"/>
        <w:right w:val="none" w:sz="0" w:space="0" w:color="auto"/>
      </w:divBdr>
    </w:div>
    <w:div w:id="1137868757">
      <w:bodyDiv w:val="1"/>
      <w:marLeft w:val="0"/>
      <w:marRight w:val="0"/>
      <w:marTop w:val="0"/>
      <w:marBottom w:val="0"/>
      <w:divBdr>
        <w:top w:val="none" w:sz="0" w:space="0" w:color="auto"/>
        <w:left w:val="none" w:sz="0" w:space="0" w:color="auto"/>
        <w:bottom w:val="none" w:sz="0" w:space="0" w:color="auto"/>
        <w:right w:val="none" w:sz="0" w:space="0" w:color="auto"/>
      </w:divBdr>
    </w:div>
    <w:div w:id="1213539789">
      <w:bodyDiv w:val="1"/>
      <w:marLeft w:val="0"/>
      <w:marRight w:val="0"/>
      <w:marTop w:val="0"/>
      <w:marBottom w:val="0"/>
      <w:divBdr>
        <w:top w:val="none" w:sz="0" w:space="0" w:color="auto"/>
        <w:left w:val="none" w:sz="0" w:space="0" w:color="auto"/>
        <w:bottom w:val="none" w:sz="0" w:space="0" w:color="auto"/>
        <w:right w:val="none" w:sz="0" w:space="0" w:color="auto"/>
      </w:divBdr>
    </w:div>
    <w:div w:id="1243173790">
      <w:bodyDiv w:val="1"/>
      <w:marLeft w:val="0"/>
      <w:marRight w:val="0"/>
      <w:marTop w:val="0"/>
      <w:marBottom w:val="0"/>
      <w:divBdr>
        <w:top w:val="none" w:sz="0" w:space="0" w:color="auto"/>
        <w:left w:val="none" w:sz="0" w:space="0" w:color="auto"/>
        <w:bottom w:val="none" w:sz="0" w:space="0" w:color="auto"/>
        <w:right w:val="none" w:sz="0" w:space="0" w:color="auto"/>
      </w:divBdr>
    </w:div>
    <w:div w:id="1283654089">
      <w:bodyDiv w:val="1"/>
      <w:marLeft w:val="0"/>
      <w:marRight w:val="0"/>
      <w:marTop w:val="0"/>
      <w:marBottom w:val="0"/>
      <w:divBdr>
        <w:top w:val="none" w:sz="0" w:space="0" w:color="auto"/>
        <w:left w:val="none" w:sz="0" w:space="0" w:color="auto"/>
        <w:bottom w:val="none" w:sz="0" w:space="0" w:color="auto"/>
        <w:right w:val="none" w:sz="0" w:space="0" w:color="auto"/>
      </w:divBdr>
    </w:div>
    <w:div w:id="1309361146">
      <w:bodyDiv w:val="1"/>
      <w:marLeft w:val="0"/>
      <w:marRight w:val="0"/>
      <w:marTop w:val="0"/>
      <w:marBottom w:val="0"/>
      <w:divBdr>
        <w:top w:val="none" w:sz="0" w:space="0" w:color="auto"/>
        <w:left w:val="none" w:sz="0" w:space="0" w:color="auto"/>
        <w:bottom w:val="none" w:sz="0" w:space="0" w:color="auto"/>
        <w:right w:val="none" w:sz="0" w:space="0" w:color="auto"/>
      </w:divBdr>
    </w:div>
    <w:div w:id="1310673853">
      <w:bodyDiv w:val="1"/>
      <w:marLeft w:val="0"/>
      <w:marRight w:val="0"/>
      <w:marTop w:val="0"/>
      <w:marBottom w:val="0"/>
      <w:divBdr>
        <w:top w:val="none" w:sz="0" w:space="0" w:color="auto"/>
        <w:left w:val="none" w:sz="0" w:space="0" w:color="auto"/>
        <w:bottom w:val="none" w:sz="0" w:space="0" w:color="auto"/>
        <w:right w:val="none" w:sz="0" w:space="0" w:color="auto"/>
      </w:divBdr>
    </w:div>
    <w:div w:id="1332677146">
      <w:bodyDiv w:val="1"/>
      <w:marLeft w:val="0"/>
      <w:marRight w:val="0"/>
      <w:marTop w:val="0"/>
      <w:marBottom w:val="0"/>
      <w:divBdr>
        <w:top w:val="none" w:sz="0" w:space="0" w:color="auto"/>
        <w:left w:val="none" w:sz="0" w:space="0" w:color="auto"/>
        <w:bottom w:val="none" w:sz="0" w:space="0" w:color="auto"/>
        <w:right w:val="none" w:sz="0" w:space="0" w:color="auto"/>
      </w:divBdr>
    </w:div>
    <w:div w:id="1348563388">
      <w:bodyDiv w:val="1"/>
      <w:marLeft w:val="0"/>
      <w:marRight w:val="0"/>
      <w:marTop w:val="0"/>
      <w:marBottom w:val="0"/>
      <w:divBdr>
        <w:top w:val="none" w:sz="0" w:space="0" w:color="auto"/>
        <w:left w:val="none" w:sz="0" w:space="0" w:color="auto"/>
        <w:bottom w:val="none" w:sz="0" w:space="0" w:color="auto"/>
        <w:right w:val="none" w:sz="0" w:space="0" w:color="auto"/>
      </w:divBdr>
    </w:div>
    <w:div w:id="1350641228">
      <w:bodyDiv w:val="1"/>
      <w:marLeft w:val="0"/>
      <w:marRight w:val="0"/>
      <w:marTop w:val="0"/>
      <w:marBottom w:val="0"/>
      <w:divBdr>
        <w:top w:val="none" w:sz="0" w:space="0" w:color="auto"/>
        <w:left w:val="none" w:sz="0" w:space="0" w:color="auto"/>
        <w:bottom w:val="none" w:sz="0" w:space="0" w:color="auto"/>
        <w:right w:val="none" w:sz="0" w:space="0" w:color="auto"/>
      </w:divBdr>
    </w:div>
    <w:div w:id="1369841438">
      <w:bodyDiv w:val="1"/>
      <w:marLeft w:val="0"/>
      <w:marRight w:val="0"/>
      <w:marTop w:val="0"/>
      <w:marBottom w:val="0"/>
      <w:divBdr>
        <w:top w:val="none" w:sz="0" w:space="0" w:color="auto"/>
        <w:left w:val="none" w:sz="0" w:space="0" w:color="auto"/>
        <w:bottom w:val="none" w:sz="0" w:space="0" w:color="auto"/>
        <w:right w:val="none" w:sz="0" w:space="0" w:color="auto"/>
      </w:divBdr>
    </w:div>
    <w:div w:id="1375886183">
      <w:bodyDiv w:val="1"/>
      <w:marLeft w:val="0"/>
      <w:marRight w:val="0"/>
      <w:marTop w:val="0"/>
      <w:marBottom w:val="0"/>
      <w:divBdr>
        <w:top w:val="none" w:sz="0" w:space="0" w:color="auto"/>
        <w:left w:val="none" w:sz="0" w:space="0" w:color="auto"/>
        <w:bottom w:val="none" w:sz="0" w:space="0" w:color="auto"/>
        <w:right w:val="none" w:sz="0" w:space="0" w:color="auto"/>
      </w:divBdr>
    </w:div>
    <w:div w:id="1376807577">
      <w:bodyDiv w:val="1"/>
      <w:marLeft w:val="0"/>
      <w:marRight w:val="0"/>
      <w:marTop w:val="0"/>
      <w:marBottom w:val="0"/>
      <w:divBdr>
        <w:top w:val="none" w:sz="0" w:space="0" w:color="auto"/>
        <w:left w:val="none" w:sz="0" w:space="0" w:color="auto"/>
        <w:bottom w:val="none" w:sz="0" w:space="0" w:color="auto"/>
        <w:right w:val="none" w:sz="0" w:space="0" w:color="auto"/>
      </w:divBdr>
    </w:div>
    <w:div w:id="1384477165">
      <w:marLeft w:val="0"/>
      <w:marRight w:val="0"/>
      <w:marTop w:val="0"/>
      <w:marBottom w:val="0"/>
      <w:divBdr>
        <w:top w:val="none" w:sz="0" w:space="0" w:color="auto"/>
        <w:left w:val="none" w:sz="0" w:space="0" w:color="auto"/>
        <w:bottom w:val="none" w:sz="0" w:space="0" w:color="auto"/>
        <w:right w:val="none" w:sz="0" w:space="0" w:color="auto"/>
      </w:divBdr>
    </w:div>
    <w:div w:id="1384477166">
      <w:marLeft w:val="0"/>
      <w:marRight w:val="0"/>
      <w:marTop w:val="0"/>
      <w:marBottom w:val="0"/>
      <w:divBdr>
        <w:top w:val="none" w:sz="0" w:space="0" w:color="auto"/>
        <w:left w:val="none" w:sz="0" w:space="0" w:color="auto"/>
        <w:bottom w:val="none" w:sz="0" w:space="0" w:color="auto"/>
        <w:right w:val="none" w:sz="0" w:space="0" w:color="auto"/>
      </w:divBdr>
    </w:div>
    <w:div w:id="1384477167">
      <w:marLeft w:val="0"/>
      <w:marRight w:val="0"/>
      <w:marTop w:val="0"/>
      <w:marBottom w:val="0"/>
      <w:divBdr>
        <w:top w:val="none" w:sz="0" w:space="0" w:color="auto"/>
        <w:left w:val="none" w:sz="0" w:space="0" w:color="auto"/>
        <w:bottom w:val="none" w:sz="0" w:space="0" w:color="auto"/>
        <w:right w:val="none" w:sz="0" w:space="0" w:color="auto"/>
      </w:divBdr>
    </w:div>
    <w:div w:id="1384477168">
      <w:marLeft w:val="0"/>
      <w:marRight w:val="0"/>
      <w:marTop w:val="0"/>
      <w:marBottom w:val="0"/>
      <w:divBdr>
        <w:top w:val="none" w:sz="0" w:space="0" w:color="auto"/>
        <w:left w:val="none" w:sz="0" w:space="0" w:color="auto"/>
        <w:bottom w:val="none" w:sz="0" w:space="0" w:color="auto"/>
        <w:right w:val="none" w:sz="0" w:space="0" w:color="auto"/>
      </w:divBdr>
    </w:div>
    <w:div w:id="1384477169">
      <w:marLeft w:val="0"/>
      <w:marRight w:val="0"/>
      <w:marTop w:val="0"/>
      <w:marBottom w:val="0"/>
      <w:divBdr>
        <w:top w:val="none" w:sz="0" w:space="0" w:color="auto"/>
        <w:left w:val="none" w:sz="0" w:space="0" w:color="auto"/>
        <w:bottom w:val="none" w:sz="0" w:space="0" w:color="auto"/>
        <w:right w:val="none" w:sz="0" w:space="0" w:color="auto"/>
      </w:divBdr>
    </w:div>
    <w:div w:id="1384477172">
      <w:marLeft w:val="0"/>
      <w:marRight w:val="0"/>
      <w:marTop w:val="0"/>
      <w:marBottom w:val="0"/>
      <w:divBdr>
        <w:top w:val="none" w:sz="0" w:space="0" w:color="auto"/>
        <w:left w:val="none" w:sz="0" w:space="0" w:color="auto"/>
        <w:bottom w:val="none" w:sz="0" w:space="0" w:color="auto"/>
        <w:right w:val="none" w:sz="0" w:space="0" w:color="auto"/>
      </w:divBdr>
    </w:div>
    <w:div w:id="1384477173">
      <w:marLeft w:val="0"/>
      <w:marRight w:val="0"/>
      <w:marTop w:val="0"/>
      <w:marBottom w:val="0"/>
      <w:divBdr>
        <w:top w:val="none" w:sz="0" w:space="0" w:color="auto"/>
        <w:left w:val="none" w:sz="0" w:space="0" w:color="auto"/>
        <w:bottom w:val="none" w:sz="0" w:space="0" w:color="auto"/>
        <w:right w:val="none" w:sz="0" w:space="0" w:color="auto"/>
      </w:divBdr>
    </w:div>
    <w:div w:id="1384477174">
      <w:marLeft w:val="0"/>
      <w:marRight w:val="0"/>
      <w:marTop w:val="0"/>
      <w:marBottom w:val="0"/>
      <w:divBdr>
        <w:top w:val="none" w:sz="0" w:space="0" w:color="auto"/>
        <w:left w:val="none" w:sz="0" w:space="0" w:color="auto"/>
        <w:bottom w:val="none" w:sz="0" w:space="0" w:color="auto"/>
        <w:right w:val="none" w:sz="0" w:space="0" w:color="auto"/>
      </w:divBdr>
    </w:div>
    <w:div w:id="1384477175">
      <w:marLeft w:val="0"/>
      <w:marRight w:val="0"/>
      <w:marTop w:val="0"/>
      <w:marBottom w:val="0"/>
      <w:divBdr>
        <w:top w:val="none" w:sz="0" w:space="0" w:color="auto"/>
        <w:left w:val="none" w:sz="0" w:space="0" w:color="auto"/>
        <w:bottom w:val="none" w:sz="0" w:space="0" w:color="auto"/>
        <w:right w:val="none" w:sz="0" w:space="0" w:color="auto"/>
      </w:divBdr>
    </w:div>
    <w:div w:id="1384477176">
      <w:marLeft w:val="0"/>
      <w:marRight w:val="0"/>
      <w:marTop w:val="0"/>
      <w:marBottom w:val="0"/>
      <w:divBdr>
        <w:top w:val="none" w:sz="0" w:space="0" w:color="auto"/>
        <w:left w:val="none" w:sz="0" w:space="0" w:color="auto"/>
        <w:bottom w:val="none" w:sz="0" w:space="0" w:color="auto"/>
        <w:right w:val="none" w:sz="0" w:space="0" w:color="auto"/>
      </w:divBdr>
    </w:div>
    <w:div w:id="1384477177">
      <w:marLeft w:val="0"/>
      <w:marRight w:val="0"/>
      <w:marTop w:val="0"/>
      <w:marBottom w:val="0"/>
      <w:divBdr>
        <w:top w:val="none" w:sz="0" w:space="0" w:color="auto"/>
        <w:left w:val="none" w:sz="0" w:space="0" w:color="auto"/>
        <w:bottom w:val="none" w:sz="0" w:space="0" w:color="auto"/>
        <w:right w:val="none" w:sz="0" w:space="0" w:color="auto"/>
      </w:divBdr>
      <w:divsChild>
        <w:div w:id="1384477171">
          <w:marLeft w:val="547"/>
          <w:marRight w:val="0"/>
          <w:marTop w:val="0"/>
          <w:marBottom w:val="0"/>
          <w:divBdr>
            <w:top w:val="none" w:sz="0" w:space="0" w:color="auto"/>
            <w:left w:val="none" w:sz="0" w:space="0" w:color="auto"/>
            <w:bottom w:val="none" w:sz="0" w:space="0" w:color="auto"/>
            <w:right w:val="none" w:sz="0" w:space="0" w:color="auto"/>
          </w:divBdr>
        </w:div>
        <w:div w:id="1384477216">
          <w:marLeft w:val="547"/>
          <w:marRight w:val="0"/>
          <w:marTop w:val="0"/>
          <w:marBottom w:val="0"/>
          <w:divBdr>
            <w:top w:val="none" w:sz="0" w:space="0" w:color="auto"/>
            <w:left w:val="none" w:sz="0" w:space="0" w:color="auto"/>
            <w:bottom w:val="none" w:sz="0" w:space="0" w:color="auto"/>
            <w:right w:val="none" w:sz="0" w:space="0" w:color="auto"/>
          </w:divBdr>
        </w:div>
      </w:divsChild>
    </w:div>
    <w:div w:id="1384477178">
      <w:marLeft w:val="0"/>
      <w:marRight w:val="0"/>
      <w:marTop w:val="0"/>
      <w:marBottom w:val="0"/>
      <w:divBdr>
        <w:top w:val="none" w:sz="0" w:space="0" w:color="auto"/>
        <w:left w:val="none" w:sz="0" w:space="0" w:color="auto"/>
        <w:bottom w:val="none" w:sz="0" w:space="0" w:color="auto"/>
        <w:right w:val="none" w:sz="0" w:space="0" w:color="auto"/>
      </w:divBdr>
    </w:div>
    <w:div w:id="1384477179">
      <w:marLeft w:val="0"/>
      <w:marRight w:val="0"/>
      <w:marTop w:val="0"/>
      <w:marBottom w:val="0"/>
      <w:divBdr>
        <w:top w:val="none" w:sz="0" w:space="0" w:color="auto"/>
        <w:left w:val="none" w:sz="0" w:space="0" w:color="auto"/>
        <w:bottom w:val="none" w:sz="0" w:space="0" w:color="auto"/>
        <w:right w:val="none" w:sz="0" w:space="0" w:color="auto"/>
      </w:divBdr>
    </w:div>
    <w:div w:id="1384477180">
      <w:marLeft w:val="0"/>
      <w:marRight w:val="0"/>
      <w:marTop w:val="0"/>
      <w:marBottom w:val="0"/>
      <w:divBdr>
        <w:top w:val="none" w:sz="0" w:space="0" w:color="auto"/>
        <w:left w:val="none" w:sz="0" w:space="0" w:color="auto"/>
        <w:bottom w:val="none" w:sz="0" w:space="0" w:color="auto"/>
        <w:right w:val="none" w:sz="0" w:space="0" w:color="auto"/>
      </w:divBdr>
    </w:div>
    <w:div w:id="1384477181">
      <w:marLeft w:val="0"/>
      <w:marRight w:val="0"/>
      <w:marTop w:val="0"/>
      <w:marBottom w:val="0"/>
      <w:divBdr>
        <w:top w:val="none" w:sz="0" w:space="0" w:color="auto"/>
        <w:left w:val="none" w:sz="0" w:space="0" w:color="auto"/>
        <w:bottom w:val="none" w:sz="0" w:space="0" w:color="auto"/>
        <w:right w:val="none" w:sz="0" w:space="0" w:color="auto"/>
      </w:divBdr>
    </w:div>
    <w:div w:id="1384477182">
      <w:marLeft w:val="0"/>
      <w:marRight w:val="0"/>
      <w:marTop w:val="0"/>
      <w:marBottom w:val="0"/>
      <w:divBdr>
        <w:top w:val="none" w:sz="0" w:space="0" w:color="auto"/>
        <w:left w:val="none" w:sz="0" w:space="0" w:color="auto"/>
        <w:bottom w:val="none" w:sz="0" w:space="0" w:color="auto"/>
        <w:right w:val="none" w:sz="0" w:space="0" w:color="auto"/>
      </w:divBdr>
    </w:div>
    <w:div w:id="1384477183">
      <w:marLeft w:val="0"/>
      <w:marRight w:val="0"/>
      <w:marTop w:val="0"/>
      <w:marBottom w:val="0"/>
      <w:divBdr>
        <w:top w:val="none" w:sz="0" w:space="0" w:color="auto"/>
        <w:left w:val="none" w:sz="0" w:space="0" w:color="auto"/>
        <w:bottom w:val="none" w:sz="0" w:space="0" w:color="auto"/>
        <w:right w:val="none" w:sz="0" w:space="0" w:color="auto"/>
      </w:divBdr>
    </w:div>
    <w:div w:id="1384477184">
      <w:marLeft w:val="0"/>
      <w:marRight w:val="0"/>
      <w:marTop w:val="0"/>
      <w:marBottom w:val="0"/>
      <w:divBdr>
        <w:top w:val="none" w:sz="0" w:space="0" w:color="auto"/>
        <w:left w:val="none" w:sz="0" w:space="0" w:color="auto"/>
        <w:bottom w:val="none" w:sz="0" w:space="0" w:color="auto"/>
        <w:right w:val="none" w:sz="0" w:space="0" w:color="auto"/>
      </w:divBdr>
    </w:div>
    <w:div w:id="1384477185">
      <w:marLeft w:val="0"/>
      <w:marRight w:val="0"/>
      <w:marTop w:val="0"/>
      <w:marBottom w:val="0"/>
      <w:divBdr>
        <w:top w:val="none" w:sz="0" w:space="0" w:color="auto"/>
        <w:left w:val="none" w:sz="0" w:space="0" w:color="auto"/>
        <w:bottom w:val="none" w:sz="0" w:space="0" w:color="auto"/>
        <w:right w:val="none" w:sz="0" w:space="0" w:color="auto"/>
      </w:divBdr>
    </w:div>
    <w:div w:id="1384477186">
      <w:marLeft w:val="0"/>
      <w:marRight w:val="0"/>
      <w:marTop w:val="0"/>
      <w:marBottom w:val="0"/>
      <w:divBdr>
        <w:top w:val="none" w:sz="0" w:space="0" w:color="auto"/>
        <w:left w:val="none" w:sz="0" w:space="0" w:color="auto"/>
        <w:bottom w:val="none" w:sz="0" w:space="0" w:color="auto"/>
        <w:right w:val="none" w:sz="0" w:space="0" w:color="auto"/>
      </w:divBdr>
    </w:div>
    <w:div w:id="1384477187">
      <w:marLeft w:val="0"/>
      <w:marRight w:val="0"/>
      <w:marTop w:val="0"/>
      <w:marBottom w:val="0"/>
      <w:divBdr>
        <w:top w:val="none" w:sz="0" w:space="0" w:color="auto"/>
        <w:left w:val="none" w:sz="0" w:space="0" w:color="auto"/>
        <w:bottom w:val="none" w:sz="0" w:space="0" w:color="auto"/>
        <w:right w:val="none" w:sz="0" w:space="0" w:color="auto"/>
      </w:divBdr>
    </w:div>
    <w:div w:id="1384477188">
      <w:marLeft w:val="0"/>
      <w:marRight w:val="0"/>
      <w:marTop w:val="0"/>
      <w:marBottom w:val="0"/>
      <w:divBdr>
        <w:top w:val="none" w:sz="0" w:space="0" w:color="auto"/>
        <w:left w:val="none" w:sz="0" w:space="0" w:color="auto"/>
        <w:bottom w:val="none" w:sz="0" w:space="0" w:color="auto"/>
        <w:right w:val="none" w:sz="0" w:space="0" w:color="auto"/>
      </w:divBdr>
    </w:div>
    <w:div w:id="1384477189">
      <w:marLeft w:val="0"/>
      <w:marRight w:val="0"/>
      <w:marTop w:val="0"/>
      <w:marBottom w:val="0"/>
      <w:divBdr>
        <w:top w:val="none" w:sz="0" w:space="0" w:color="auto"/>
        <w:left w:val="none" w:sz="0" w:space="0" w:color="auto"/>
        <w:bottom w:val="none" w:sz="0" w:space="0" w:color="auto"/>
        <w:right w:val="none" w:sz="0" w:space="0" w:color="auto"/>
      </w:divBdr>
    </w:div>
    <w:div w:id="1384477190">
      <w:marLeft w:val="0"/>
      <w:marRight w:val="0"/>
      <w:marTop w:val="0"/>
      <w:marBottom w:val="0"/>
      <w:divBdr>
        <w:top w:val="none" w:sz="0" w:space="0" w:color="auto"/>
        <w:left w:val="none" w:sz="0" w:space="0" w:color="auto"/>
        <w:bottom w:val="none" w:sz="0" w:space="0" w:color="auto"/>
        <w:right w:val="none" w:sz="0" w:space="0" w:color="auto"/>
      </w:divBdr>
    </w:div>
    <w:div w:id="1384477191">
      <w:marLeft w:val="0"/>
      <w:marRight w:val="0"/>
      <w:marTop w:val="0"/>
      <w:marBottom w:val="0"/>
      <w:divBdr>
        <w:top w:val="none" w:sz="0" w:space="0" w:color="auto"/>
        <w:left w:val="none" w:sz="0" w:space="0" w:color="auto"/>
        <w:bottom w:val="none" w:sz="0" w:space="0" w:color="auto"/>
        <w:right w:val="none" w:sz="0" w:space="0" w:color="auto"/>
      </w:divBdr>
    </w:div>
    <w:div w:id="1384477192">
      <w:marLeft w:val="0"/>
      <w:marRight w:val="0"/>
      <w:marTop w:val="0"/>
      <w:marBottom w:val="0"/>
      <w:divBdr>
        <w:top w:val="none" w:sz="0" w:space="0" w:color="auto"/>
        <w:left w:val="none" w:sz="0" w:space="0" w:color="auto"/>
        <w:bottom w:val="none" w:sz="0" w:space="0" w:color="auto"/>
        <w:right w:val="none" w:sz="0" w:space="0" w:color="auto"/>
      </w:divBdr>
    </w:div>
    <w:div w:id="1384477193">
      <w:marLeft w:val="0"/>
      <w:marRight w:val="0"/>
      <w:marTop w:val="0"/>
      <w:marBottom w:val="0"/>
      <w:divBdr>
        <w:top w:val="none" w:sz="0" w:space="0" w:color="auto"/>
        <w:left w:val="none" w:sz="0" w:space="0" w:color="auto"/>
        <w:bottom w:val="none" w:sz="0" w:space="0" w:color="auto"/>
        <w:right w:val="none" w:sz="0" w:space="0" w:color="auto"/>
      </w:divBdr>
    </w:div>
    <w:div w:id="1384477194">
      <w:marLeft w:val="0"/>
      <w:marRight w:val="0"/>
      <w:marTop w:val="0"/>
      <w:marBottom w:val="0"/>
      <w:divBdr>
        <w:top w:val="none" w:sz="0" w:space="0" w:color="auto"/>
        <w:left w:val="none" w:sz="0" w:space="0" w:color="auto"/>
        <w:bottom w:val="none" w:sz="0" w:space="0" w:color="auto"/>
        <w:right w:val="none" w:sz="0" w:space="0" w:color="auto"/>
      </w:divBdr>
    </w:div>
    <w:div w:id="1384477195">
      <w:marLeft w:val="0"/>
      <w:marRight w:val="0"/>
      <w:marTop w:val="0"/>
      <w:marBottom w:val="0"/>
      <w:divBdr>
        <w:top w:val="none" w:sz="0" w:space="0" w:color="auto"/>
        <w:left w:val="none" w:sz="0" w:space="0" w:color="auto"/>
        <w:bottom w:val="none" w:sz="0" w:space="0" w:color="auto"/>
        <w:right w:val="none" w:sz="0" w:space="0" w:color="auto"/>
      </w:divBdr>
    </w:div>
    <w:div w:id="1384477196">
      <w:marLeft w:val="0"/>
      <w:marRight w:val="0"/>
      <w:marTop w:val="0"/>
      <w:marBottom w:val="0"/>
      <w:divBdr>
        <w:top w:val="none" w:sz="0" w:space="0" w:color="auto"/>
        <w:left w:val="none" w:sz="0" w:space="0" w:color="auto"/>
        <w:bottom w:val="none" w:sz="0" w:space="0" w:color="auto"/>
        <w:right w:val="none" w:sz="0" w:space="0" w:color="auto"/>
      </w:divBdr>
      <w:divsChild>
        <w:div w:id="1384477170">
          <w:marLeft w:val="0"/>
          <w:marRight w:val="0"/>
          <w:marTop w:val="0"/>
          <w:marBottom w:val="0"/>
          <w:divBdr>
            <w:top w:val="none" w:sz="0" w:space="0" w:color="auto"/>
            <w:left w:val="none" w:sz="0" w:space="0" w:color="auto"/>
            <w:bottom w:val="none" w:sz="0" w:space="0" w:color="auto"/>
            <w:right w:val="none" w:sz="0" w:space="0" w:color="auto"/>
          </w:divBdr>
          <w:divsChild>
            <w:div w:id="138447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77197">
      <w:marLeft w:val="0"/>
      <w:marRight w:val="0"/>
      <w:marTop w:val="0"/>
      <w:marBottom w:val="0"/>
      <w:divBdr>
        <w:top w:val="none" w:sz="0" w:space="0" w:color="auto"/>
        <w:left w:val="none" w:sz="0" w:space="0" w:color="auto"/>
        <w:bottom w:val="none" w:sz="0" w:space="0" w:color="auto"/>
        <w:right w:val="none" w:sz="0" w:space="0" w:color="auto"/>
      </w:divBdr>
    </w:div>
    <w:div w:id="1384477198">
      <w:marLeft w:val="0"/>
      <w:marRight w:val="0"/>
      <w:marTop w:val="0"/>
      <w:marBottom w:val="0"/>
      <w:divBdr>
        <w:top w:val="none" w:sz="0" w:space="0" w:color="auto"/>
        <w:left w:val="none" w:sz="0" w:space="0" w:color="auto"/>
        <w:bottom w:val="none" w:sz="0" w:space="0" w:color="auto"/>
        <w:right w:val="none" w:sz="0" w:space="0" w:color="auto"/>
      </w:divBdr>
    </w:div>
    <w:div w:id="1384477199">
      <w:marLeft w:val="0"/>
      <w:marRight w:val="0"/>
      <w:marTop w:val="0"/>
      <w:marBottom w:val="0"/>
      <w:divBdr>
        <w:top w:val="none" w:sz="0" w:space="0" w:color="auto"/>
        <w:left w:val="none" w:sz="0" w:space="0" w:color="auto"/>
        <w:bottom w:val="none" w:sz="0" w:space="0" w:color="auto"/>
        <w:right w:val="none" w:sz="0" w:space="0" w:color="auto"/>
      </w:divBdr>
    </w:div>
    <w:div w:id="1384477200">
      <w:marLeft w:val="0"/>
      <w:marRight w:val="0"/>
      <w:marTop w:val="0"/>
      <w:marBottom w:val="0"/>
      <w:divBdr>
        <w:top w:val="none" w:sz="0" w:space="0" w:color="auto"/>
        <w:left w:val="none" w:sz="0" w:space="0" w:color="auto"/>
        <w:bottom w:val="none" w:sz="0" w:space="0" w:color="auto"/>
        <w:right w:val="none" w:sz="0" w:space="0" w:color="auto"/>
      </w:divBdr>
    </w:div>
    <w:div w:id="1384477201">
      <w:marLeft w:val="0"/>
      <w:marRight w:val="0"/>
      <w:marTop w:val="0"/>
      <w:marBottom w:val="0"/>
      <w:divBdr>
        <w:top w:val="none" w:sz="0" w:space="0" w:color="auto"/>
        <w:left w:val="none" w:sz="0" w:space="0" w:color="auto"/>
        <w:bottom w:val="none" w:sz="0" w:space="0" w:color="auto"/>
        <w:right w:val="none" w:sz="0" w:space="0" w:color="auto"/>
      </w:divBdr>
    </w:div>
    <w:div w:id="1384477202">
      <w:marLeft w:val="0"/>
      <w:marRight w:val="0"/>
      <w:marTop w:val="0"/>
      <w:marBottom w:val="0"/>
      <w:divBdr>
        <w:top w:val="none" w:sz="0" w:space="0" w:color="auto"/>
        <w:left w:val="none" w:sz="0" w:space="0" w:color="auto"/>
        <w:bottom w:val="none" w:sz="0" w:space="0" w:color="auto"/>
        <w:right w:val="none" w:sz="0" w:space="0" w:color="auto"/>
      </w:divBdr>
    </w:div>
    <w:div w:id="1384477203">
      <w:marLeft w:val="0"/>
      <w:marRight w:val="0"/>
      <w:marTop w:val="0"/>
      <w:marBottom w:val="0"/>
      <w:divBdr>
        <w:top w:val="none" w:sz="0" w:space="0" w:color="auto"/>
        <w:left w:val="none" w:sz="0" w:space="0" w:color="auto"/>
        <w:bottom w:val="none" w:sz="0" w:space="0" w:color="auto"/>
        <w:right w:val="none" w:sz="0" w:space="0" w:color="auto"/>
      </w:divBdr>
    </w:div>
    <w:div w:id="1384477204">
      <w:marLeft w:val="0"/>
      <w:marRight w:val="0"/>
      <w:marTop w:val="0"/>
      <w:marBottom w:val="0"/>
      <w:divBdr>
        <w:top w:val="none" w:sz="0" w:space="0" w:color="auto"/>
        <w:left w:val="none" w:sz="0" w:space="0" w:color="auto"/>
        <w:bottom w:val="none" w:sz="0" w:space="0" w:color="auto"/>
        <w:right w:val="none" w:sz="0" w:space="0" w:color="auto"/>
      </w:divBdr>
    </w:div>
    <w:div w:id="1384477205">
      <w:marLeft w:val="0"/>
      <w:marRight w:val="0"/>
      <w:marTop w:val="0"/>
      <w:marBottom w:val="0"/>
      <w:divBdr>
        <w:top w:val="none" w:sz="0" w:space="0" w:color="auto"/>
        <w:left w:val="none" w:sz="0" w:space="0" w:color="auto"/>
        <w:bottom w:val="none" w:sz="0" w:space="0" w:color="auto"/>
        <w:right w:val="none" w:sz="0" w:space="0" w:color="auto"/>
      </w:divBdr>
    </w:div>
    <w:div w:id="1384477206">
      <w:marLeft w:val="0"/>
      <w:marRight w:val="0"/>
      <w:marTop w:val="0"/>
      <w:marBottom w:val="0"/>
      <w:divBdr>
        <w:top w:val="none" w:sz="0" w:space="0" w:color="auto"/>
        <w:left w:val="none" w:sz="0" w:space="0" w:color="auto"/>
        <w:bottom w:val="none" w:sz="0" w:space="0" w:color="auto"/>
        <w:right w:val="none" w:sz="0" w:space="0" w:color="auto"/>
      </w:divBdr>
    </w:div>
    <w:div w:id="1384477207">
      <w:marLeft w:val="0"/>
      <w:marRight w:val="0"/>
      <w:marTop w:val="0"/>
      <w:marBottom w:val="0"/>
      <w:divBdr>
        <w:top w:val="none" w:sz="0" w:space="0" w:color="auto"/>
        <w:left w:val="none" w:sz="0" w:space="0" w:color="auto"/>
        <w:bottom w:val="none" w:sz="0" w:space="0" w:color="auto"/>
        <w:right w:val="none" w:sz="0" w:space="0" w:color="auto"/>
      </w:divBdr>
    </w:div>
    <w:div w:id="1384477208">
      <w:marLeft w:val="0"/>
      <w:marRight w:val="0"/>
      <w:marTop w:val="0"/>
      <w:marBottom w:val="0"/>
      <w:divBdr>
        <w:top w:val="none" w:sz="0" w:space="0" w:color="auto"/>
        <w:left w:val="none" w:sz="0" w:space="0" w:color="auto"/>
        <w:bottom w:val="none" w:sz="0" w:space="0" w:color="auto"/>
        <w:right w:val="none" w:sz="0" w:space="0" w:color="auto"/>
      </w:divBdr>
    </w:div>
    <w:div w:id="1384477209">
      <w:marLeft w:val="0"/>
      <w:marRight w:val="0"/>
      <w:marTop w:val="0"/>
      <w:marBottom w:val="0"/>
      <w:divBdr>
        <w:top w:val="none" w:sz="0" w:space="0" w:color="auto"/>
        <w:left w:val="none" w:sz="0" w:space="0" w:color="auto"/>
        <w:bottom w:val="none" w:sz="0" w:space="0" w:color="auto"/>
        <w:right w:val="none" w:sz="0" w:space="0" w:color="auto"/>
      </w:divBdr>
    </w:div>
    <w:div w:id="1384477210">
      <w:marLeft w:val="0"/>
      <w:marRight w:val="0"/>
      <w:marTop w:val="0"/>
      <w:marBottom w:val="0"/>
      <w:divBdr>
        <w:top w:val="none" w:sz="0" w:space="0" w:color="auto"/>
        <w:left w:val="none" w:sz="0" w:space="0" w:color="auto"/>
        <w:bottom w:val="none" w:sz="0" w:space="0" w:color="auto"/>
        <w:right w:val="none" w:sz="0" w:space="0" w:color="auto"/>
      </w:divBdr>
    </w:div>
    <w:div w:id="1384477212">
      <w:marLeft w:val="0"/>
      <w:marRight w:val="0"/>
      <w:marTop w:val="0"/>
      <w:marBottom w:val="0"/>
      <w:divBdr>
        <w:top w:val="none" w:sz="0" w:space="0" w:color="auto"/>
        <w:left w:val="none" w:sz="0" w:space="0" w:color="auto"/>
        <w:bottom w:val="none" w:sz="0" w:space="0" w:color="auto"/>
        <w:right w:val="none" w:sz="0" w:space="0" w:color="auto"/>
      </w:divBdr>
    </w:div>
    <w:div w:id="1384477213">
      <w:marLeft w:val="0"/>
      <w:marRight w:val="0"/>
      <w:marTop w:val="0"/>
      <w:marBottom w:val="0"/>
      <w:divBdr>
        <w:top w:val="none" w:sz="0" w:space="0" w:color="auto"/>
        <w:left w:val="none" w:sz="0" w:space="0" w:color="auto"/>
        <w:bottom w:val="none" w:sz="0" w:space="0" w:color="auto"/>
        <w:right w:val="none" w:sz="0" w:space="0" w:color="auto"/>
      </w:divBdr>
    </w:div>
    <w:div w:id="1384477214">
      <w:marLeft w:val="0"/>
      <w:marRight w:val="0"/>
      <w:marTop w:val="0"/>
      <w:marBottom w:val="0"/>
      <w:divBdr>
        <w:top w:val="none" w:sz="0" w:space="0" w:color="auto"/>
        <w:left w:val="none" w:sz="0" w:space="0" w:color="auto"/>
        <w:bottom w:val="none" w:sz="0" w:space="0" w:color="auto"/>
        <w:right w:val="none" w:sz="0" w:space="0" w:color="auto"/>
      </w:divBdr>
    </w:div>
    <w:div w:id="1384477215">
      <w:marLeft w:val="0"/>
      <w:marRight w:val="0"/>
      <w:marTop w:val="0"/>
      <w:marBottom w:val="0"/>
      <w:divBdr>
        <w:top w:val="none" w:sz="0" w:space="0" w:color="auto"/>
        <w:left w:val="none" w:sz="0" w:space="0" w:color="auto"/>
        <w:bottom w:val="none" w:sz="0" w:space="0" w:color="auto"/>
        <w:right w:val="none" w:sz="0" w:space="0" w:color="auto"/>
      </w:divBdr>
    </w:div>
    <w:div w:id="1384477217">
      <w:marLeft w:val="0"/>
      <w:marRight w:val="0"/>
      <w:marTop w:val="0"/>
      <w:marBottom w:val="0"/>
      <w:divBdr>
        <w:top w:val="none" w:sz="0" w:space="0" w:color="auto"/>
        <w:left w:val="none" w:sz="0" w:space="0" w:color="auto"/>
        <w:bottom w:val="none" w:sz="0" w:space="0" w:color="auto"/>
        <w:right w:val="none" w:sz="0" w:space="0" w:color="auto"/>
      </w:divBdr>
    </w:div>
    <w:div w:id="1384477218">
      <w:marLeft w:val="0"/>
      <w:marRight w:val="0"/>
      <w:marTop w:val="0"/>
      <w:marBottom w:val="0"/>
      <w:divBdr>
        <w:top w:val="none" w:sz="0" w:space="0" w:color="auto"/>
        <w:left w:val="none" w:sz="0" w:space="0" w:color="auto"/>
        <w:bottom w:val="none" w:sz="0" w:space="0" w:color="auto"/>
        <w:right w:val="none" w:sz="0" w:space="0" w:color="auto"/>
      </w:divBdr>
    </w:div>
    <w:div w:id="1384477219">
      <w:marLeft w:val="0"/>
      <w:marRight w:val="0"/>
      <w:marTop w:val="0"/>
      <w:marBottom w:val="0"/>
      <w:divBdr>
        <w:top w:val="none" w:sz="0" w:space="0" w:color="auto"/>
        <w:left w:val="none" w:sz="0" w:space="0" w:color="auto"/>
        <w:bottom w:val="none" w:sz="0" w:space="0" w:color="auto"/>
        <w:right w:val="none" w:sz="0" w:space="0" w:color="auto"/>
      </w:divBdr>
    </w:div>
    <w:div w:id="1384477220">
      <w:marLeft w:val="0"/>
      <w:marRight w:val="0"/>
      <w:marTop w:val="0"/>
      <w:marBottom w:val="0"/>
      <w:divBdr>
        <w:top w:val="none" w:sz="0" w:space="0" w:color="auto"/>
        <w:left w:val="none" w:sz="0" w:space="0" w:color="auto"/>
        <w:bottom w:val="none" w:sz="0" w:space="0" w:color="auto"/>
        <w:right w:val="none" w:sz="0" w:space="0" w:color="auto"/>
      </w:divBdr>
    </w:div>
    <w:div w:id="1384477221">
      <w:marLeft w:val="0"/>
      <w:marRight w:val="0"/>
      <w:marTop w:val="0"/>
      <w:marBottom w:val="0"/>
      <w:divBdr>
        <w:top w:val="none" w:sz="0" w:space="0" w:color="auto"/>
        <w:left w:val="none" w:sz="0" w:space="0" w:color="auto"/>
        <w:bottom w:val="none" w:sz="0" w:space="0" w:color="auto"/>
        <w:right w:val="none" w:sz="0" w:space="0" w:color="auto"/>
      </w:divBdr>
    </w:div>
    <w:div w:id="1384477222">
      <w:marLeft w:val="0"/>
      <w:marRight w:val="0"/>
      <w:marTop w:val="0"/>
      <w:marBottom w:val="0"/>
      <w:divBdr>
        <w:top w:val="none" w:sz="0" w:space="0" w:color="auto"/>
        <w:left w:val="none" w:sz="0" w:space="0" w:color="auto"/>
        <w:bottom w:val="none" w:sz="0" w:space="0" w:color="auto"/>
        <w:right w:val="none" w:sz="0" w:space="0" w:color="auto"/>
      </w:divBdr>
    </w:div>
    <w:div w:id="1384477223">
      <w:marLeft w:val="0"/>
      <w:marRight w:val="0"/>
      <w:marTop w:val="0"/>
      <w:marBottom w:val="0"/>
      <w:divBdr>
        <w:top w:val="none" w:sz="0" w:space="0" w:color="auto"/>
        <w:left w:val="none" w:sz="0" w:space="0" w:color="auto"/>
        <w:bottom w:val="none" w:sz="0" w:space="0" w:color="auto"/>
        <w:right w:val="none" w:sz="0" w:space="0" w:color="auto"/>
      </w:divBdr>
    </w:div>
    <w:div w:id="1384477224">
      <w:marLeft w:val="0"/>
      <w:marRight w:val="0"/>
      <w:marTop w:val="0"/>
      <w:marBottom w:val="0"/>
      <w:divBdr>
        <w:top w:val="none" w:sz="0" w:space="0" w:color="auto"/>
        <w:left w:val="none" w:sz="0" w:space="0" w:color="auto"/>
        <w:bottom w:val="none" w:sz="0" w:space="0" w:color="auto"/>
        <w:right w:val="none" w:sz="0" w:space="0" w:color="auto"/>
      </w:divBdr>
    </w:div>
    <w:div w:id="1384477225">
      <w:marLeft w:val="0"/>
      <w:marRight w:val="0"/>
      <w:marTop w:val="0"/>
      <w:marBottom w:val="0"/>
      <w:divBdr>
        <w:top w:val="none" w:sz="0" w:space="0" w:color="auto"/>
        <w:left w:val="none" w:sz="0" w:space="0" w:color="auto"/>
        <w:bottom w:val="none" w:sz="0" w:space="0" w:color="auto"/>
        <w:right w:val="none" w:sz="0" w:space="0" w:color="auto"/>
      </w:divBdr>
    </w:div>
    <w:div w:id="1384477226">
      <w:marLeft w:val="0"/>
      <w:marRight w:val="0"/>
      <w:marTop w:val="0"/>
      <w:marBottom w:val="0"/>
      <w:divBdr>
        <w:top w:val="none" w:sz="0" w:space="0" w:color="auto"/>
        <w:left w:val="none" w:sz="0" w:space="0" w:color="auto"/>
        <w:bottom w:val="none" w:sz="0" w:space="0" w:color="auto"/>
        <w:right w:val="none" w:sz="0" w:space="0" w:color="auto"/>
      </w:divBdr>
    </w:div>
    <w:div w:id="1384477227">
      <w:marLeft w:val="0"/>
      <w:marRight w:val="0"/>
      <w:marTop w:val="0"/>
      <w:marBottom w:val="0"/>
      <w:divBdr>
        <w:top w:val="none" w:sz="0" w:space="0" w:color="auto"/>
        <w:left w:val="none" w:sz="0" w:space="0" w:color="auto"/>
        <w:bottom w:val="none" w:sz="0" w:space="0" w:color="auto"/>
        <w:right w:val="none" w:sz="0" w:space="0" w:color="auto"/>
      </w:divBdr>
    </w:div>
    <w:div w:id="1384477228">
      <w:marLeft w:val="0"/>
      <w:marRight w:val="0"/>
      <w:marTop w:val="0"/>
      <w:marBottom w:val="0"/>
      <w:divBdr>
        <w:top w:val="none" w:sz="0" w:space="0" w:color="auto"/>
        <w:left w:val="none" w:sz="0" w:space="0" w:color="auto"/>
        <w:bottom w:val="none" w:sz="0" w:space="0" w:color="auto"/>
        <w:right w:val="none" w:sz="0" w:space="0" w:color="auto"/>
      </w:divBdr>
    </w:div>
    <w:div w:id="1384477229">
      <w:marLeft w:val="0"/>
      <w:marRight w:val="0"/>
      <w:marTop w:val="0"/>
      <w:marBottom w:val="0"/>
      <w:divBdr>
        <w:top w:val="none" w:sz="0" w:space="0" w:color="auto"/>
        <w:left w:val="none" w:sz="0" w:space="0" w:color="auto"/>
        <w:bottom w:val="none" w:sz="0" w:space="0" w:color="auto"/>
        <w:right w:val="none" w:sz="0" w:space="0" w:color="auto"/>
      </w:divBdr>
    </w:div>
    <w:div w:id="1418092417">
      <w:bodyDiv w:val="1"/>
      <w:marLeft w:val="0"/>
      <w:marRight w:val="0"/>
      <w:marTop w:val="0"/>
      <w:marBottom w:val="0"/>
      <w:divBdr>
        <w:top w:val="none" w:sz="0" w:space="0" w:color="auto"/>
        <w:left w:val="none" w:sz="0" w:space="0" w:color="auto"/>
        <w:bottom w:val="none" w:sz="0" w:space="0" w:color="auto"/>
        <w:right w:val="none" w:sz="0" w:space="0" w:color="auto"/>
      </w:divBdr>
    </w:div>
    <w:div w:id="1452675030">
      <w:bodyDiv w:val="1"/>
      <w:marLeft w:val="0"/>
      <w:marRight w:val="0"/>
      <w:marTop w:val="0"/>
      <w:marBottom w:val="0"/>
      <w:divBdr>
        <w:top w:val="none" w:sz="0" w:space="0" w:color="auto"/>
        <w:left w:val="none" w:sz="0" w:space="0" w:color="auto"/>
        <w:bottom w:val="none" w:sz="0" w:space="0" w:color="auto"/>
        <w:right w:val="none" w:sz="0" w:space="0" w:color="auto"/>
      </w:divBdr>
    </w:div>
    <w:div w:id="1458059564">
      <w:bodyDiv w:val="1"/>
      <w:marLeft w:val="0"/>
      <w:marRight w:val="0"/>
      <w:marTop w:val="0"/>
      <w:marBottom w:val="0"/>
      <w:divBdr>
        <w:top w:val="none" w:sz="0" w:space="0" w:color="auto"/>
        <w:left w:val="none" w:sz="0" w:space="0" w:color="auto"/>
        <w:bottom w:val="none" w:sz="0" w:space="0" w:color="auto"/>
        <w:right w:val="none" w:sz="0" w:space="0" w:color="auto"/>
      </w:divBdr>
    </w:div>
    <w:div w:id="1469056313">
      <w:bodyDiv w:val="1"/>
      <w:marLeft w:val="0"/>
      <w:marRight w:val="0"/>
      <w:marTop w:val="0"/>
      <w:marBottom w:val="0"/>
      <w:divBdr>
        <w:top w:val="none" w:sz="0" w:space="0" w:color="auto"/>
        <w:left w:val="none" w:sz="0" w:space="0" w:color="auto"/>
        <w:bottom w:val="none" w:sz="0" w:space="0" w:color="auto"/>
        <w:right w:val="none" w:sz="0" w:space="0" w:color="auto"/>
      </w:divBdr>
    </w:div>
    <w:div w:id="1472405813">
      <w:bodyDiv w:val="1"/>
      <w:marLeft w:val="0"/>
      <w:marRight w:val="0"/>
      <w:marTop w:val="0"/>
      <w:marBottom w:val="0"/>
      <w:divBdr>
        <w:top w:val="none" w:sz="0" w:space="0" w:color="auto"/>
        <w:left w:val="none" w:sz="0" w:space="0" w:color="auto"/>
        <w:bottom w:val="none" w:sz="0" w:space="0" w:color="auto"/>
        <w:right w:val="none" w:sz="0" w:space="0" w:color="auto"/>
      </w:divBdr>
    </w:div>
    <w:div w:id="1557427822">
      <w:bodyDiv w:val="1"/>
      <w:marLeft w:val="0"/>
      <w:marRight w:val="0"/>
      <w:marTop w:val="0"/>
      <w:marBottom w:val="0"/>
      <w:divBdr>
        <w:top w:val="none" w:sz="0" w:space="0" w:color="auto"/>
        <w:left w:val="none" w:sz="0" w:space="0" w:color="auto"/>
        <w:bottom w:val="none" w:sz="0" w:space="0" w:color="auto"/>
        <w:right w:val="none" w:sz="0" w:space="0" w:color="auto"/>
      </w:divBdr>
    </w:div>
    <w:div w:id="1561944952">
      <w:bodyDiv w:val="1"/>
      <w:marLeft w:val="0"/>
      <w:marRight w:val="0"/>
      <w:marTop w:val="0"/>
      <w:marBottom w:val="0"/>
      <w:divBdr>
        <w:top w:val="none" w:sz="0" w:space="0" w:color="auto"/>
        <w:left w:val="none" w:sz="0" w:space="0" w:color="auto"/>
        <w:bottom w:val="none" w:sz="0" w:space="0" w:color="auto"/>
        <w:right w:val="none" w:sz="0" w:space="0" w:color="auto"/>
      </w:divBdr>
    </w:div>
    <w:div w:id="1563638941">
      <w:bodyDiv w:val="1"/>
      <w:marLeft w:val="0"/>
      <w:marRight w:val="0"/>
      <w:marTop w:val="0"/>
      <w:marBottom w:val="0"/>
      <w:divBdr>
        <w:top w:val="none" w:sz="0" w:space="0" w:color="auto"/>
        <w:left w:val="none" w:sz="0" w:space="0" w:color="auto"/>
        <w:bottom w:val="none" w:sz="0" w:space="0" w:color="auto"/>
        <w:right w:val="none" w:sz="0" w:space="0" w:color="auto"/>
      </w:divBdr>
    </w:div>
    <w:div w:id="1585871518">
      <w:bodyDiv w:val="1"/>
      <w:marLeft w:val="0"/>
      <w:marRight w:val="0"/>
      <w:marTop w:val="0"/>
      <w:marBottom w:val="0"/>
      <w:divBdr>
        <w:top w:val="none" w:sz="0" w:space="0" w:color="auto"/>
        <w:left w:val="none" w:sz="0" w:space="0" w:color="auto"/>
        <w:bottom w:val="none" w:sz="0" w:space="0" w:color="auto"/>
        <w:right w:val="none" w:sz="0" w:space="0" w:color="auto"/>
      </w:divBdr>
    </w:div>
    <w:div w:id="1603029362">
      <w:bodyDiv w:val="1"/>
      <w:marLeft w:val="0"/>
      <w:marRight w:val="0"/>
      <w:marTop w:val="0"/>
      <w:marBottom w:val="0"/>
      <w:divBdr>
        <w:top w:val="none" w:sz="0" w:space="0" w:color="auto"/>
        <w:left w:val="none" w:sz="0" w:space="0" w:color="auto"/>
        <w:bottom w:val="none" w:sz="0" w:space="0" w:color="auto"/>
        <w:right w:val="none" w:sz="0" w:space="0" w:color="auto"/>
      </w:divBdr>
    </w:div>
    <w:div w:id="1621916072">
      <w:bodyDiv w:val="1"/>
      <w:marLeft w:val="0"/>
      <w:marRight w:val="0"/>
      <w:marTop w:val="0"/>
      <w:marBottom w:val="0"/>
      <w:divBdr>
        <w:top w:val="none" w:sz="0" w:space="0" w:color="auto"/>
        <w:left w:val="none" w:sz="0" w:space="0" w:color="auto"/>
        <w:bottom w:val="none" w:sz="0" w:space="0" w:color="auto"/>
        <w:right w:val="none" w:sz="0" w:space="0" w:color="auto"/>
      </w:divBdr>
    </w:div>
    <w:div w:id="1622758817">
      <w:bodyDiv w:val="1"/>
      <w:marLeft w:val="0"/>
      <w:marRight w:val="0"/>
      <w:marTop w:val="0"/>
      <w:marBottom w:val="0"/>
      <w:divBdr>
        <w:top w:val="none" w:sz="0" w:space="0" w:color="auto"/>
        <w:left w:val="none" w:sz="0" w:space="0" w:color="auto"/>
        <w:bottom w:val="none" w:sz="0" w:space="0" w:color="auto"/>
        <w:right w:val="none" w:sz="0" w:space="0" w:color="auto"/>
      </w:divBdr>
    </w:div>
    <w:div w:id="1647011520">
      <w:bodyDiv w:val="1"/>
      <w:marLeft w:val="0"/>
      <w:marRight w:val="0"/>
      <w:marTop w:val="0"/>
      <w:marBottom w:val="0"/>
      <w:divBdr>
        <w:top w:val="none" w:sz="0" w:space="0" w:color="auto"/>
        <w:left w:val="none" w:sz="0" w:space="0" w:color="auto"/>
        <w:bottom w:val="none" w:sz="0" w:space="0" w:color="auto"/>
        <w:right w:val="none" w:sz="0" w:space="0" w:color="auto"/>
      </w:divBdr>
    </w:div>
    <w:div w:id="1712463474">
      <w:bodyDiv w:val="1"/>
      <w:marLeft w:val="0"/>
      <w:marRight w:val="0"/>
      <w:marTop w:val="0"/>
      <w:marBottom w:val="0"/>
      <w:divBdr>
        <w:top w:val="none" w:sz="0" w:space="0" w:color="auto"/>
        <w:left w:val="none" w:sz="0" w:space="0" w:color="auto"/>
        <w:bottom w:val="none" w:sz="0" w:space="0" w:color="auto"/>
        <w:right w:val="none" w:sz="0" w:space="0" w:color="auto"/>
      </w:divBdr>
    </w:div>
    <w:div w:id="1715420544">
      <w:bodyDiv w:val="1"/>
      <w:marLeft w:val="0"/>
      <w:marRight w:val="0"/>
      <w:marTop w:val="0"/>
      <w:marBottom w:val="0"/>
      <w:divBdr>
        <w:top w:val="none" w:sz="0" w:space="0" w:color="auto"/>
        <w:left w:val="none" w:sz="0" w:space="0" w:color="auto"/>
        <w:bottom w:val="none" w:sz="0" w:space="0" w:color="auto"/>
        <w:right w:val="none" w:sz="0" w:space="0" w:color="auto"/>
      </w:divBdr>
    </w:div>
    <w:div w:id="1721899726">
      <w:bodyDiv w:val="1"/>
      <w:marLeft w:val="0"/>
      <w:marRight w:val="0"/>
      <w:marTop w:val="0"/>
      <w:marBottom w:val="0"/>
      <w:divBdr>
        <w:top w:val="none" w:sz="0" w:space="0" w:color="auto"/>
        <w:left w:val="none" w:sz="0" w:space="0" w:color="auto"/>
        <w:bottom w:val="none" w:sz="0" w:space="0" w:color="auto"/>
        <w:right w:val="none" w:sz="0" w:space="0" w:color="auto"/>
      </w:divBdr>
    </w:div>
    <w:div w:id="1770153875">
      <w:bodyDiv w:val="1"/>
      <w:marLeft w:val="0"/>
      <w:marRight w:val="0"/>
      <w:marTop w:val="0"/>
      <w:marBottom w:val="0"/>
      <w:divBdr>
        <w:top w:val="none" w:sz="0" w:space="0" w:color="auto"/>
        <w:left w:val="none" w:sz="0" w:space="0" w:color="auto"/>
        <w:bottom w:val="none" w:sz="0" w:space="0" w:color="auto"/>
        <w:right w:val="none" w:sz="0" w:space="0" w:color="auto"/>
      </w:divBdr>
    </w:div>
    <w:div w:id="1789426472">
      <w:bodyDiv w:val="1"/>
      <w:marLeft w:val="0"/>
      <w:marRight w:val="0"/>
      <w:marTop w:val="0"/>
      <w:marBottom w:val="0"/>
      <w:divBdr>
        <w:top w:val="none" w:sz="0" w:space="0" w:color="auto"/>
        <w:left w:val="none" w:sz="0" w:space="0" w:color="auto"/>
        <w:bottom w:val="none" w:sz="0" w:space="0" w:color="auto"/>
        <w:right w:val="none" w:sz="0" w:space="0" w:color="auto"/>
      </w:divBdr>
    </w:div>
    <w:div w:id="1798063132">
      <w:bodyDiv w:val="1"/>
      <w:marLeft w:val="0"/>
      <w:marRight w:val="0"/>
      <w:marTop w:val="0"/>
      <w:marBottom w:val="0"/>
      <w:divBdr>
        <w:top w:val="none" w:sz="0" w:space="0" w:color="auto"/>
        <w:left w:val="none" w:sz="0" w:space="0" w:color="auto"/>
        <w:bottom w:val="none" w:sz="0" w:space="0" w:color="auto"/>
        <w:right w:val="none" w:sz="0" w:space="0" w:color="auto"/>
      </w:divBdr>
    </w:div>
    <w:div w:id="1801457015">
      <w:bodyDiv w:val="1"/>
      <w:marLeft w:val="0"/>
      <w:marRight w:val="0"/>
      <w:marTop w:val="0"/>
      <w:marBottom w:val="0"/>
      <w:divBdr>
        <w:top w:val="none" w:sz="0" w:space="0" w:color="auto"/>
        <w:left w:val="none" w:sz="0" w:space="0" w:color="auto"/>
        <w:bottom w:val="none" w:sz="0" w:space="0" w:color="auto"/>
        <w:right w:val="none" w:sz="0" w:space="0" w:color="auto"/>
      </w:divBdr>
    </w:div>
    <w:div w:id="1824615988">
      <w:bodyDiv w:val="1"/>
      <w:marLeft w:val="0"/>
      <w:marRight w:val="0"/>
      <w:marTop w:val="0"/>
      <w:marBottom w:val="0"/>
      <w:divBdr>
        <w:top w:val="none" w:sz="0" w:space="0" w:color="auto"/>
        <w:left w:val="none" w:sz="0" w:space="0" w:color="auto"/>
        <w:bottom w:val="none" w:sz="0" w:space="0" w:color="auto"/>
        <w:right w:val="none" w:sz="0" w:space="0" w:color="auto"/>
      </w:divBdr>
    </w:div>
    <w:div w:id="1856260855">
      <w:bodyDiv w:val="1"/>
      <w:marLeft w:val="0"/>
      <w:marRight w:val="0"/>
      <w:marTop w:val="0"/>
      <w:marBottom w:val="0"/>
      <w:divBdr>
        <w:top w:val="none" w:sz="0" w:space="0" w:color="auto"/>
        <w:left w:val="none" w:sz="0" w:space="0" w:color="auto"/>
        <w:bottom w:val="none" w:sz="0" w:space="0" w:color="auto"/>
        <w:right w:val="none" w:sz="0" w:space="0" w:color="auto"/>
      </w:divBdr>
    </w:div>
    <w:div w:id="1857579019">
      <w:bodyDiv w:val="1"/>
      <w:marLeft w:val="0"/>
      <w:marRight w:val="0"/>
      <w:marTop w:val="0"/>
      <w:marBottom w:val="0"/>
      <w:divBdr>
        <w:top w:val="none" w:sz="0" w:space="0" w:color="auto"/>
        <w:left w:val="none" w:sz="0" w:space="0" w:color="auto"/>
        <w:bottom w:val="none" w:sz="0" w:space="0" w:color="auto"/>
        <w:right w:val="none" w:sz="0" w:space="0" w:color="auto"/>
      </w:divBdr>
    </w:div>
    <w:div w:id="1860122895">
      <w:bodyDiv w:val="1"/>
      <w:marLeft w:val="0"/>
      <w:marRight w:val="0"/>
      <w:marTop w:val="0"/>
      <w:marBottom w:val="0"/>
      <w:divBdr>
        <w:top w:val="none" w:sz="0" w:space="0" w:color="auto"/>
        <w:left w:val="none" w:sz="0" w:space="0" w:color="auto"/>
        <w:bottom w:val="none" w:sz="0" w:space="0" w:color="auto"/>
        <w:right w:val="none" w:sz="0" w:space="0" w:color="auto"/>
      </w:divBdr>
    </w:div>
    <w:div w:id="1914313590">
      <w:bodyDiv w:val="1"/>
      <w:marLeft w:val="0"/>
      <w:marRight w:val="0"/>
      <w:marTop w:val="0"/>
      <w:marBottom w:val="0"/>
      <w:divBdr>
        <w:top w:val="none" w:sz="0" w:space="0" w:color="auto"/>
        <w:left w:val="none" w:sz="0" w:space="0" w:color="auto"/>
        <w:bottom w:val="none" w:sz="0" w:space="0" w:color="auto"/>
        <w:right w:val="none" w:sz="0" w:space="0" w:color="auto"/>
      </w:divBdr>
    </w:div>
    <w:div w:id="1918590105">
      <w:bodyDiv w:val="1"/>
      <w:marLeft w:val="0"/>
      <w:marRight w:val="0"/>
      <w:marTop w:val="0"/>
      <w:marBottom w:val="0"/>
      <w:divBdr>
        <w:top w:val="none" w:sz="0" w:space="0" w:color="auto"/>
        <w:left w:val="none" w:sz="0" w:space="0" w:color="auto"/>
        <w:bottom w:val="none" w:sz="0" w:space="0" w:color="auto"/>
        <w:right w:val="none" w:sz="0" w:space="0" w:color="auto"/>
      </w:divBdr>
    </w:div>
    <w:div w:id="1939411837">
      <w:bodyDiv w:val="1"/>
      <w:marLeft w:val="0"/>
      <w:marRight w:val="0"/>
      <w:marTop w:val="0"/>
      <w:marBottom w:val="0"/>
      <w:divBdr>
        <w:top w:val="none" w:sz="0" w:space="0" w:color="auto"/>
        <w:left w:val="none" w:sz="0" w:space="0" w:color="auto"/>
        <w:bottom w:val="none" w:sz="0" w:space="0" w:color="auto"/>
        <w:right w:val="none" w:sz="0" w:space="0" w:color="auto"/>
      </w:divBdr>
    </w:div>
    <w:div w:id="1946880383">
      <w:bodyDiv w:val="1"/>
      <w:marLeft w:val="0"/>
      <w:marRight w:val="0"/>
      <w:marTop w:val="0"/>
      <w:marBottom w:val="0"/>
      <w:divBdr>
        <w:top w:val="none" w:sz="0" w:space="0" w:color="auto"/>
        <w:left w:val="none" w:sz="0" w:space="0" w:color="auto"/>
        <w:bottom w:val="none" w:sz="0" w:space="0" w:color="auto"/>
        <w:right w:val="none" w:sz="0" w:space="0" w:color="auto"/>
      </w:divBdr>
    </w:div>
    <w:div w:id="1947688749">
      <w:bodyDiv w:val="1"/>
      <w:marLeft w:val="0"/>
      <w:marRight w:val="0"/>
      <w:marTop w:val="0"/>
      <w:marBottom w:val="0"/>
      <w:divBdr>
        <w:top w:val="none" w:sz="0" w:space="0" w:color="auto"/>
        <w:left w:val="none" w:sz="0" w:space="0" w:color="auto"/>
        <w:bottom w:val="none" w:sz="0" w:space="0" w:color="auto"/>
        <w:right w:val="none" w:sz="0" w:space="0" w:color="auto"/>
      </w:divBdr>
    </w:div>
    <w:div w:id="1947738198">
      <w:bodyDiv w:val="1"/>
      <w:marLeft w:val="0"/>
      <w:marRight w:val="0"/>
      <w:marTop w:val="0"/>
      <w:marBottom w:val="0"/>
      <w:divBdr>
        <w:top w:val="none" w:sz="0" w:space="0" w:color="auto"/>
        <w:left w:val="none" w:sz="0" w:space="0" w:color="auto"/>
        <w:bottom w:val="none" w:sz="0" w:space="0" w:color="auto"/>
        <w:right w:val="none" w:sz="0" w:space="0" w:color="auto"/>
      </w:divBdr>
    </w:div>
    <w:div w:id="1948924189">
      <w:bodyDiv w:val="1"/>
      <w:marLeft w:val="0"/>
      <w:marRight w:val="0"/>
      <w:marTop w:val="0"/>
      <w:marBottom w:val="0"/>
      <w:divBdr>
        <w:top w:val="none" w:sz="0" w:space="0" w:color="auto"/>
        <w:left w:val="none" w:sz="0" w:space="0" w:color="auto"/>
        <w:bottom w:val="none" w:sz="0" w:space="0" w:color="auto"/>
        <w:right w:val="none" w:sz="0" w:space="0" w:color="auto"/>
      </w:divBdr>
    </w:div>
    <w:div w:id="1988389605">
      <w:bodyDiv w:val="1"/>
      <w:marLeft w:val="0"/>
      <w:marRight w:val="0"/>
      <w:marTop w:val="0"/>
      <w:marBottom w:val="0"/>
      <w:divBdr>
        <w:top w:val="none" w:sz="0" w:space="0" w:color="auto"/>
        <w:left w:val="none" w:sz="0" w:space="0" w:color="auto"/>
        <w:bottom w:val="none" w:sz="0" w:space="0" w:color="auto"/>
        <w:right w:val="none" w:sz="0" w:space="0" w:color="auto"/>
      </w:divBdr>
    </w:div>
    <w:div w:id="2013291957">
      <w:bodyDiv w:val="1"/>
      <w:marLeft w:val="0"/>
      <w:marRight w:val="0"/>
      <w:marTop w:val="0"/>
      <w:marBottom w:val="0"/>
      <w:divBdr>
        <w:top w:val="none" w:sz="0" w:space="0" w:color="auto"/>
        <w:left w:val="none" w:sz="0" w:space="0" w:color="auto"/>
        <w:bottom w:val="none" w:sz="0" w:space="0" w:color="auto"/>
        <w:right w:val="none" w:sz="0" w:space="0" w:color="auto"/>
      </w:divBdr>
    </w:div>
    <w:div w:id="2071029847">
      <w:bodyDiv w:val="1"/>
      <w:marLeft w:val="0"/>
      <w:marRight w:val="0"/>
      <w:marTop w:val="0"/>
      <w:marBottom w:val="0"/>
      <w:divBdr>
        <w:top w:val="none" w:sz="0" w:space="0" w:color="auto"/>
        <w:left w:val="none" w:sz="0" w:space="0" w:color="auto"/>
        <w:bottom w:val="none" w:sz="0" w:space="0" w:color="auto"/>
        <w:right w:val="none" w:sz="0" w:space="0" w:color="auto"/>
      </w:divBdr>
    </w:div>
    <w:div w:id="2077318371">
      <w:bodyDiv w:val="1"/>
      <w:marLeft w:val="0"/>
      <w:marRight w:val="0"/>
      <w:marTop w:val="0"/>
      <w:marBottom w:val="0"/>
      <w:divBdr>
        <w:top w:val="none" w:sz="0" w:space="0" w:color="auto"/>
        <w:left w:val="none" w:sz="0" w:space="0" w:color="auto"/>
        <w:bottom w:val="none" w:sz="0" w:space="0" w:color="auto"/>
        <w:right w:val="none" w:sz="0" w:space="0" w:color="auto"/>
      </w:divBdr>
    </w:div>
    <w:div w:id="2095080518">
      <w:bodyDiv w:val="1"/>
      <w:marLeft w:val="0"/>
      <w:marRight w:val="0"/>
      <w:marTop w:val="0"/>
      <w:marBottom w:val="0"/>
      <w:divBdr>
        <w:top w:val="none" w:sz="0" w:space="0" w:color="auto"/>
        <w:left w:val="none" w:sz="0" w:space="0" w:color="auto"/>
        <w:bottom w:val="none" w:sz="0" w:space="0" w:color="auto"/>
        <w:right w:val="none" w:sz="0" w:space="0" w:color="auto"/>
      </w:divBdr>
    </w:div>
    <w:div w:id="2109809054">
      <w:bodyDiv w:val="1"/>
      <w:marLeft w:val="0"/>
      <w:marRight w:val="0"/>
      <w:marTop w:val="0"/>
      <w:marBottom w:val="0"/>
      <w:divBdr>
        <w:top w:val="none" w:sz="0" w:space="0" w:color="auto"/>
        <w:left w:val="none" w:sz="0" w:space="0" w:color="auto"/>
        <w:bottom w:val="none" w:sz="0" w:space="0" w:color="auto"/>
        <w:right w:val="none" w:sz="0" w:space="0" w:color="auto"/>
      </w:divBdr>
    </w:div>
    <w:div w:id="2113428415">
      <w:bodyDiv w:val="1"/>
      <w:marLeft w:val="0"/>
      <w:marRight w:val="0"/>
      <w:marTop w:val="0"/>
      <w:marBottom w:val="0"/>
      <w:divBdr>
        <w:top w:val="none" w:sz="0" w:space="0" w:color="auto"/>
        <w:left w:val="none" w:sz="0" w:space="0" w:color="auto"/>
        <w:bottom w:val="none" w:sz="0" w:space="0" w:color="auto"/>
        <w:right w:val="none" w:sz="0" w:space="0" w:color="auto"/>
      </w:divBdr>
    </w:div>
    <w:div w:id="2122647014">
      <w:bodyDiv w:val="1"/>
      <w:marLeft w:val="0"/>
      <w:marRight w:val="0"/>
      <w:marTop w:val="0"/>
      <w:marBottom w:val="0"/>
      <w:divBdr>
        <w:top w:val="none" w:sz="0" w:space="0" w:color="auto"/>
        <w:left w:val="none" w:sz="0" w:space="0" w:color="auto"/>
        <w:bottom w:val="none" w:sz="0" w:space="0" w:color="auto"/>
        <w:right w:val="none" w:sz="0" w:space="0" w:color="auto"/>
      </w:divBdr>
    </w:div>
    <w:div w:id="213138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41" Type="http://schemas.openxmlformats.org/officeDocument/2006/relationships/chart" Target="charts/chart34.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8" Type="http://schemas.openxmlformats.org/officeDocument/2006/relationships/chart" Target="charts/chart1.xml"/><Relationship Id="rId51" Type="http://schemas.openxmlformats.org/officeDocument/2006/relationships/chart" Target="charts/chart44.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fao.org/worldfoodsituation/foodpricesindex/en/" TargetMode="External"/><Relationship Id="rId3" Type="http://schemas.openxmlformats.org/officeDocument/2006/relationships/hyperlink" Target="http://www.stats.gov.cn/" TargetMode="External"/><Relationship Id="rId7" Type="http://schemas.openxmlformats.org/officeDocument/2006/relationships/hyperlink" Target="https://www.worldbank.org/en/research/commodity-markets" TargetMode="External"/><Relationship Id="rId2" Type="http://schemas.openxmlformats.org/officeDocument/2006/relationships/hyperlink" Target="https://ec.europa.eu/eurostat/" TargetMode="External"/><Relationship Id="rId1" Type="http://schemas.openxmlformats.org/officeDocument/2006/relationships/hyperlink" Target="https://www.bea.gov/" TargetMode="External"/><Relationship Id="rId6" Type="http://schemas.openxmlformats.org/officeDocument/2006/relationships/hyperlink" Target="https://www.fao.org/worldfoodsituation/foodpricesindex/en/" TargetMode="External"/><Relationship Id="rId5" Type="http://schemas.openxmlformats.org/officeDocument/2006/relationships/hyperlink" Target="https://www.worldbank.org/en/research/commodity-markets" TargetMode="External"/><Relationship Id="rId10" Type="http://schemas.openxmlformats.org/officeDocument/2006/relationships/hyperlink" Target="file:///C:\Users\Hasmik.Petrosyan\Downloads\1.10.&#1359;&#1381;&#1394;&#1381;&#1391;&#1377;&#1398;&#1412;&#1398;&#1381;&#1408;\13.&#1337;&#1400;&#1394;&#1377;&#1408;&#1391;&#1396;&#1377;&#1398;%20&#1390;&#1377;&#1406;&#1377;&#1388;,%20&#1377;&#1408;&#1407;&#1377;&#1392;&#1377;&#1398;&#1400;&#1410;&#1396;,%20&#1398;&#1381;&#1408;&#1396;&#1400;&#1410;&#1390;&#1400;&#1410;&#1396;.docx" TargetMode="External"/><Relationship Id="rId4" Type="http://schemas.openxmlformats.org/officeDocument/2006/relationships/hyperlink" Target="https://economy.gov.ru/" TargetMode="External"/><Relationship Id="rId9" Type="http://schemas.openxmlformats.org/officeDocument/2006/relationships/hyperlink" Target="1.10.&#1359;&#1381;&#1394;&#1381;&#1391;&#1377;&#1398;&#1412;&#1398;&#1381;&#1408;/13.&#1337;&#1400;&#1394;&#1377;&#1408;&#1391;&#1400;&#1410;&#1396;_%20&#1377;&#1408;&#1407;&#1377;&#1392;&#1377;&#1398;&#1400;&#1410;&#1396;_%20&#1398;&#1381;&#1408;&#1396;&#1400;&#1410;&#1390;&#1400;&#1410;&#1396;_2025.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4.xml"/><Relationship Id="rId1" Type="http://schemas.microsoft.com/office/2011/relationships/chartStyle" Target="style4.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0.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5.xml"/><Relationship Id="rId1" Type="http://schemas.microsoft.com/office/2011/relationships/chartStyle" Target="style5.xm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3.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4.xm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8.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4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499309150838173E-2"/>
          <c:y val="3.6763853313516531E-2"/>
          <c:w val="0.92024487689567347"/>
          <c:h val="0.67258655482135088"/>
        </c:manualLayout>
      </c:layout>
      <c:barChart>
        <c:barDir val="col"/>
        <c:grouping val="clustered"/>
        <c:varyColors val="0"/>
        <c:ser>
          <c:idx val="0"/>
          <c:order val="0"/>
          <c:tx>
            <c:strRef>
              <c:f>Sheet1!$B$1</c:f>
              <c:strCache>
                <c:ptCount val="1"/>
                <c:pt idx="0">
                  <c:v>ԱՄՆ</c:v>
                </c:pt>
              </c:strCache>
            </c:strRef>
          </c:tx>
          <c:spPr>
            <a:solidFill>
              <a:srgbClr val="5B9BD5">
                <a:lumMod val="50000"/>
              </a:srgbClr>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General</c:formatCode>
                <c:ptCount val="5"/>
                <c:pt idx="0">
                  <c:v>6.1</c:v>
                </c:pt>
                <c:pt idx="1">
                  <c:v>2.5</c:v>
                </c:pt>
                <c:pt idx="2">
                  <c:v>2.9</c:v>
                </c:pt>
                <c:pt idx="3">
                  <c:v>2.8</c:v>
                </c:pt>
                <c:pt idx="4">
                  <c:v>2.1</c:v>
                </c:pt>
              </c:numCache>
            </c:numRef>
          </c:val>
          <c:extLst>
            <c:ext xmlns:c16="http://schemas.microsoft.com/office/drawing/2014/chart" uri="{C3380CC4-5D6E-409C-BE32-E72D297353CC}">
              <c16:uniqueId val="{00000000-A815-4759-B461-BC4B61BABCCB}"/>
            </c:ext>
          </c:extLst>
        </c:ser>
        <c:ser>
          <c:idx val="1"/>
          <c:order val="1"/>
          <c:tx>
            <c:strRef>
              <c:f>Sheet1!$C$1</c:f>
              <c:strCache>
                <c:ptCount val="1"/>
                <c:pt idx="0">
                  <c:v>ԵԳ</c:v>
                </c:pt>
              </c:strCache>
            </c:strRef>
          </c:tx>
          <c:spPr>
            <a:solidFill>
              <a:srgbClr val="5B9BD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Sheet1!$C$2:$C$9</c:f>
              <c:numCache>
                <c:formatCode>General</c:formatCode>
                <c:ptCount val="5"/>
                <c:pt idx="0">
                  <c:v>6.3</c:v>
                </c:pt>
                <c:pt idx="1">
                  <c:v>3.5</c:v>
                </c:pt>
                <c:pt idx="2">
                  <c:v>0.4</c:v>
                </c:pt>
                <c:pt idx="3">
                  <c:v>0.9</c:v>
                </c:pt>
                <c:pt idx="4">
                  <c:v>1.4</c:v>
                </c:pt>
              </c:numCache>
            </c:numRef>
          </c:val>
          <c:extLst>
            <c:ext xmlns:c16="http://schemas.microsoft.com/office/drawing/2014/chart" uri="{C3380CC4-5D6E-409C-BE32-E72D297353CC}">
              <c16:uniqueId val="{00000001-A815-4759-B461-BC4B61BABCCB}"/>
            </c:ext>
          </c:extLst>
        </c:ser>
        <c:ser>
          <c:idx val="2"/>
          <c:order val="2"/>
          <c:tx>
            <c:strRef>
              <c:f>Sheet1!$D$1</c:f>
              <c:strCache>
                <c:ptCount val="1"/>
                <c:pt idx="0">
                  <c:v>Չինաստան</c:v>
                </c:pt>
              </c:strCache>
            </c:strRef>
          </c:tx>
          <c:spPr>
            <a:solidFill>
              <a:srgbClr val="A5A5A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formatCode="General">
                  <c:v>8.1</c:v>
                </c:pt>
                <c:pt idx="1">
                  <c:v>3</c:v>
                </c:pt>
                <c:pt idx="2" formatCode="General">
                  <c:v>5.2</c:v>
                </c:pt>
                <c:pt idx="3">
                  <c:v>5</c:v>
                </c:pt>
                <c:pt idx="4">
                  <c:v>5</c:v>
                </c:pt>
              </c:numCache>
            </c:numRef>
          </c:val>
          <c:extLst>
            <c:ext xmlns:c16="http://schemas.microsoft.com/office/drawing/2014/chart" uri="{C3380CC4-5D6E-409C-BE32-E72D297353CC}">
              <c16:uniqueId val="{00000002-A815-4759-B461-BC4B61BABCCB}"/>
            </c:ext>
          </c:extLst>
        </c:ser>
        <c:ser>
          <c:idx val="3"/>
          <c:order val="3"/>
          <c:tx>
            <c:strRef>
              <c:f>Sheet1!$E$1</c:f>
              <c:strCache>
                <c:ptCount val="1"/>
                <c:pt idx="0">
                  <c:v>ՌԴ</c:v>
                </c:pt>
              </c:strCache>
            </c:strRef>
          </c:tx>
          <c:spPr>
            <a:solidFill>
              <a:srgbClr val="F79646">
                <a:lumMod val="60000"/>
                <a:lumOff val="40000"/>
              </a:srgbClr>
            </a:solidFill>
            <a:ln>
              <a:noFill/>
            </a:ln>
            <a:effectLst/>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Sheet1!$E$2:$E$9</c:f>
              <c:numCache>
                <c:formatCode>General</c:formatCode>
                <c:ptCount val="5"/>
                <c:pt idx="0">
                  <c:v>5.9</c:v>
                </c:pt>
                <c:pt idx="1">
                  <c:v>-1.2</c:v>
                </c:pt>
                <c:pt idx="2">
                  <c:v>4.0999999999999996</c:v>
                </c:pt>
                <c:pt idx="3">
                  <c:v>4.0999999999999996</c:v>
                </c:pt>
                <c:pt idx="4" formatCode="0.0">
                  <c:v>1</c:v>
                </c:pt>
              </c:numCache>
            </c:numRef>
          </c:val>
          <c:extLst>
            <c:ext xmlns:c16="http://schemas.microsoft.com/office/drawing/2014/chart" uri="{C3380CC4-5D6E-409C-BE32-E72D297353CC}">
              <c16:uniqueId val="{00000003-A815-4759-B461-BC4B61BABCCB}"/>
            </c:ext>
          </c:extLst>
        </c:ser>
        <c:dLbls>
          <c:showLegendKey val="0"/>
          <c:showVal val="0"/>
          <c:showCatName val="0"/>
          <c:showSerName val="0"/>
          <c:showPercent val="0"/>
          <c:showBubbleSize val="0"/>
        </c:dLbls>
        <c:gapWidth val="219"/>
        <c:overlap val="-27"/>
        <c:axId val="1913054992"/>
        <c:axId val="1913059344"/>
      </c:barChart>
      <c:catAx>
        <c:axId val="1913054992"/>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344"/>
        <c:crosses val="autoZero"/>
        <c:auto val="1"/>
        <c:lblAlgn val="ctr"/>
        <c:lblOffset val="100"/>
        <c:noMultiLvlLbl val="0"/>
      </c:catAx>
      <c:valAx>
        <c:axId val="1913059344"/>
        <c:scaling>
          <c:orientation val="minMax"/>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6348">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4992"/>
        <c:crosses val="autoZero"/>
        <c:crossBetween val="between"/>
      </c:valAx>
      <c:spPr>
        <a:noFill/>
        <a:ln w="25393">
          <a:noFill/>
        </a:ln>
      </c:spPr>
    </c:plotArea>
    <c:legend>
      <c:legendPos val="b"/>
      <c:layout>
        <c:manualLayout>
          <c:xMode val="edge"/>
          <c:yMode val="edge"/>
          <c:x val="0.32334262181984963"/>
          <c:y val="0.87321271011336354"/>
          <c:w val="0.35331491052605213"/>
          <c:h val="0.12017535042162286"/>
        </c:manualLayout>
      </c:layout>
      <c:overlay val="0"/>
      <c:spPr>
        <a:noFill/>
        <a:ln w="25393">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5.3764966023082734E-2"/>
          <c:w val="0.87658476118247253"/>
          <c:h val="0.6699338762912147"/>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-10.400000000000006</c:v>
                </c:pt>
                <c:pt idx="1">
                  <c:v>-26.599999999999994</c:v>
                </c:pt>
                <c:pt idx="2">
                  <c:v>-16.900000000000006</c:v>
                </c:pt>
                <c:pt idx="3">
                  <c:v>-8.7000000000000028</c:v>
                </c:pt>
                <c:pt idx="4">
                  <c:v>-5.9000000000000057</c:v>
                </c:pt>
                <c:pt idx="5">
                  <c:v>-1.2000000000000028</c:v>
                </c:pt>
                <c:pt idx="6">
                  <c:v>4.2000000000000028</c:v>
                </c:pt>
                <c:pt idx="7">
                  <c:v>5.7999999999999972</c:v>
                </c:pt>
                <c:pt idx="8">
                  <c:v>10.099999999999994</c:v>
                </c:pt>
                <c:pt idx="9">
                  <c:v>17.900000000000006</c:v>
                </c:pt>
                <c:pt idx="10">
                  <c:v>31.699999999999989</c:v>
                </c:pt>
                <c:pt idx="11">
                  <c:v>38.599999999999994</c:v>
                </c:pt>
              </c:numCache>
            </c:numRef>
          </c:val>
          <c:extLst>
            <c:ext xmlns:c16="http://schemas.microsoft.com/office/drawing/2014/chart" uri="{C3380CC4-5D6E-409C-BE32-E72D297353CC}">
              <c16:uniqueId val="{00000000-3A70-4050-99FE-1F9C8749B4E5}"/>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11.599999999999994</c:v>
                </c:pt>
                <c:pt idx="1">
                  <c:v>12.700000000000003</c:v>
                </c:pt>
                <c:pt idx="2">
                  <c:v>15.5</c:v>
                </c:pt>
                <c:pt idx="3">
                  <c:v>17.900000000000006</c:v>
                </c:pt>
                <c:pt idx="4">
                  <c:v>22.200000000000003</c:v>
                </c:pt>
                <c:pt idx="5">
                  <c:v>22.599999999999994</c:v>
                </c:pt>
                <c:pt idx="6">
                  <c:v>26.099999999999994</c:v>
                </c:pt>
                <c:pt idx="7">
                  <c:v>21.099999999999994</c:v>
                </c:pt>
                <c:pt idx="8">
                  <c:v>22</c:v>
                </c:pt>
                <c:pt idx="9">
                  <c:v>20.099999999999994</c:v>
                </c:pt>
                <c:pt idx="10">
                  <c:v>17.200000000000003</c:v>
                </c:pt>
                <c:pt idx="11">
                  <c:v>20.5</c:v>
                </c:pt>
              </c:numCache>
            </c:numRef>
          </c:val>
          <c:extLst>
            <c:ext xmlns:c16="http://schemas.microsoft.com/office/drawing/2014/chart" uri="{C3380CC4-5D6E-409C-BE32-E72D297353CC}">
              <c16:uniqueId val="{00000001-3A70-4050-99FE-1F9C8749B4E5}"/>
            </c:ext>
          </c:extLst>
        </c:ser>
        <c:ser>
          <c:idx val="3"/>
          <c:order val="3"/>
          <c:tx>
            <c:strRef>
              <c:f>Sheet1!$A$5</c:f>
              <c:strCache>
                <c:ptCount val="1"/>
                <c:pt idx="0">
                  <c:v>Ծառայություններ</c:v>
                </c:pt>
              </c:strCache>
            </c:strRef>
          </c:tx>
          <c:spPr>
            <a:solidFill>
              <a:srgbClr val="4198AF"/>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12.200000000000003</c:v>
                </c:pt>
                <c:pt idx="1">
                  <c:v>11.599999999999994</c:v>
                </c:pt>
                <c:pt idx="2">
                  <c:v>10</c:v>
                </c:pt>
                <c:pt idx="3">
                  <c:v>7.7999999999999972</c:v>
                </c:pt>
                <c:pt idx="4">
                  <c:v>13</c:v>
                </c:pt>
                <c:pt idx="5">
                  <c:v>10.099999999999994</c:v>
                </c:pt>
                <c:pt idx="6">
                  <c:v>12.900000000000006</c:v>
                </c:pt>
                <c:pt idx="7">
                  <c:v>8.5</c:v>
                </c:pt>
                <c:pt idx="8">
                  <c:v>9.9000000000000057</c:v>
                </c:pt>
                <c:pt idx="9">
                  <c:v>12.799999999999997</c:v>
                </c:pt>
                <c:pt idx="10">
                  <c:v>11.200000000000003</c:v>
                </c:pt>
                <c:pt idx="11">
                  <c:v>8.2000000000000028</c:v>
                </c:pt>
              </c:numCache>
            </c:numRef>
          </c:val>
          <c:extLst>
            <c:ext xmlns:c16="http://schemas.microsoft.com/office/drawing/2014/chart" uri="{C3380CC4-5D6E-409C-BE32-E72D297353CC}">
              <c16:uniqueId val="{00000002-3A70-4050-99FE-1F9C8749B4E5}"/>
            </c:ext>
          </c:extLst>
        </c:ser>
        <c:ser>
          <c:idx val="4"/>
          <c:order val="4"/>
          <c:tx>
            <c:strRef>
              <c:f>Sheet1!$A$6</c:f>
              <c:strCache>
                <c:ptCount val="1"/>
                <c:pt idx="0">
                  <c:v>Առևտուր</c:v>
                </c:pt>
              </c:strCache>
            </c:strRef>
          </c:tx>
          <c:spPr>
            <a:solidFill>
              <a:srgbClr val="FAC090"/>
            </a:solidFill>
            <a:ln>
              <a:noFill/>
            </a:ln>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14.599999999999994</c:v>
                </c:pt>
                <c:pt idx="1">
                  <c:v>3.4000000000000057</c:v>
                </c:pt>
                <c:pt idx="2">
                  <c:v>3.4000000000000057</c:v>
                </c:pt>
                <c:pt idx="3">
                  <c:v>4.0999999999999943</c:v>
                </c:pt>
                <c:pt idx="4">
                  <c:v>1.2000000000000028</c:v>
                </c:pt>
                <c:pt idx="5">
                  <c:v>3.2999999999999972</c:v>
                </c:pt>
                <c:pt idx="6">
                  <c:v>3</c:v>
                </c:pt>
                <c:pt idx="7">
                  <c:v>1.7000000000000028</c:v>
                </c:pt>
                <c:pt idx="8">
                  <c:v>0.90000000000000568</c:v>
                </c:pt>
                <c:pt idx="9">
                  <c:v>1</c:v>
                </c:pt>
                <c:pt idx="10">
                  <c:v>1.5</c:v>
                </c:pt>
                <c:pt idx="11">
                  <c:v>3.2000000000000028</c:v>
                </c:pt>
              </c:numCache>
            </c:numRef>
          </c:val>
          <c:extLst>
            <c:ext xmlns:c16="http://schemas.microsoft.com/office/drawing/2014/chart" uri="{C3380CC4-5D6E-409C-BE32-E72D297353CC}">
              <c16:uniqueId val="{00000003-3A70-4050-99FE-1F9C8749B4E5}"/>
            </c:ext>
          </c:extLst>
        </c:ser>
        <c:dLbls>
          <c:showLegendKey val="0"/>
          <c:showVal val="0"/>
          <c:showCatName val="0"/>
          <c:showSerName val="0"/>
          <c:showPercent val="0"/>
          <c:showBubbleSize val="0"/>
        </c:dLbls>
        <c:gapWidth val="146"/>
        <c:overlap val="16"/>
        <c:axId val="432423424"/>
        <c:axId val="339948032"/>
      </c:barChart>
      <c:lineChart>
        <c:grouping val="standard"/>
        <c:varyColors val="0"/>
        <c:ser>
          <c:idx val="0"/>
          <c:order val="0"/>
          <c:tx>
            <c:strRef>
              <c:f>Sheet1!$A$2</c:f>
              <c:strCache>
                <c:ptCount val="1"/>
                <c:pt idx="0">
                  <c:v>ՏԱՑ, աջ առանցք</c:v>
                </c:pt>
              </c:strCache>
            </c:strRef>
          </c:tx>
          <c:spPr>
            <a:effectLst/>
          </c:spPr>
          <c:marker>
            <c:spPr>
              <a:solidFill>
                <a:srgbClr val="1F497D"/>
              </a:solidFill>
              <a:ln>
                <a:noFill/>
              </a:ln>
            </c:spPr>
          </c:marker>
          <c:dLbls>
            <c:dLbl>
              <c:idx val="0"/>
              <c:layout>
                <c:manualLayout>
                  <c:x val="-6.5731267462534951E-2"/>
                  <c:y val="-4.1845606209095158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A70-4050-99FE-1F9C8749B4E5}"/>
                </c:ext>
              </c:extLst>
            </c:dLbl>
            <c:dLbl>
              <c:idx val="1"/>
              <c:layout>
                <c:manualLayout>
                  <c:x val="-1.9709762086190838E-2"/>
                  <c:y val="9.6565397136516729E-3"/>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A70-4050-99FE-1F9C8749B4E5}"/>
                </c:ext>
              </c:extLst>
            </c:dLbl>
            <c:dLbl>
              <c:idx val="2"/>
              <c:layout>
                <c:manualLayout>
                  <c:x val="-2.3978663957327916E-2"/>
                  <c:y val="1.5379000371734649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A70-4050-99FE-1F9C8749B4E5}"/>
                </c:ext>
              </c:extLst>
            </c:dLbl>
            <c:dLbl>
              <c:idx val="3"/>
              <c:layout>
                <c:manualLayout>
                  <c:x val="-3.6881889763779485E-2"/>
                  <c:y val="2.1101461029817626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A70-4050-99FE-1F9C8749B4E5}"/>
                </c:ext>
              </c:extLst>
            </c:dLbl>
            <c:dLbl>
              <c:idx val="4"/>
              <c:layout>
                <c:manualLayout>
                  <c:x val="-8.5420032173397636E-2"/>
                  <c:y val="-3.4294661665145984E-2"/>
                </c:manualLayout>
              </c:layout>
              <c:spPr>
                <a:noFill/>
                <a:ln>
                  <a:noFill/>
                </a:ln>
                <a:effectLst/>
              </c:spPr>
              <c:txPr>
                <a:bodyPr wrap="square" lIns="38100" tIns="19050" rIns="38100" bIns="19050" anchor="ctr">
                  <a:no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3A70-4050-99FE-1F9C8749B4E5}"/>
                </c:ext>
              </c:extLst>
            </c:dLbl>
            <c:dLbl>
              <c:idx val="5"/>
              <c:layout>
                <c:manualLayout>
                  <c:x val="-6.7161459656252642E-2"/>
                  <c:y val="-3.6123145551012155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A70-4050-99FE-1F9C8749B4E5}"/>
                </c:ext>
              </c:extLst>
            </c:dLbl>
            <c:dLbl>
              <c:idx val="6"/>
              <c:layout>
                <c:manualLayout>
                  <c:x val="-6.2860384387435436E-2"/>
                  <c:y val="-3.6123145551012134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A70-4050-99FE-1F9C8749B4E5}"/>
                </c:ext>
              </c:extLst>
            </c:dLbl>
            <c:dLbl>
              <c:idx val="7"/>
              <c:layout>
                <c:manualLayout>
                  <c:x val="-2.5182965032596732E-2"/>
                  <c:y val="-3.0400684892929155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A70-4050-99FE-1F9C8749B4E5}"/>
                </c:ext>
              </c:extLst>
            </c:dLbl>
            <c:dLbl>
              <c:idx val="8"/>
              <c:layout>
                <c:manualLayout>
                  <c:x val="-8.5043095419524248E-2"/>
                  <c:y val="-3.0400684892929155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A70-4050-99FE-1F9C8749B4E5}"/>
                </c:ext>
              </c:extLst>
            </c:dLbl>
            <c:dLbl>
              <c:idx val="9"/>
              <c:layout>
                <c:manualLayout>
                  <c:x val="-8.4086021505376349E-2"/>
                  <c:y val="-3.6123145551012134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A70-4050-99FE-1F9C8749B4E5}"/>
                </c:ext>
              </c:extLst>
            </c:dLbl>
            <c:dLbl>
              <c:idx val="10"/>
              <c:layout>
                <c:manualLayout>
                  <c:x val="-7.0817373634747272E-2"/>
                  <c:y val="-4.7568066867178106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A70-4050-99FE-1F9C8749B4E5}"/>
                </c:ext>
              </c:extLst>
            </c:dLbl>
            <c:dLbl>
              <c:idx val="11"/>
              <c:layout>
                <c:manualLayout>
                  <c:x val="-7.4365591397849456E-2"/>
                  <c:y val="-3.6123145551012134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A70-4050-99FE-1F9C8749B4E5}"/>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7.3426232722364091</c:v>
                </c:pt>
                <c:pt idx="1">
                  <c:v>1.2417378988693173</c:v>
                </c:pt>
                <c:pt idx="2">
                  <c:v>3.5503211087291504</c:v>
                </c:pt>
                <c:pt idx="3">
                  <c:v>6.2721480052491785</c:v>
                </c:pt>
                <c:pt idx="4">
                  <c:v>11.107940315977061</c:v>
                </c:pt>
                <c:pt idx="5">
                  <c:v>9.4126182515327486</c:v>
                </c:pt>
                <c:pt idx="6">
                  <c:v>9.4110595876402812</c:v>
                </c:pt>
                <c:pt idx="7">
                  <c:v>8.0397457199891846</c:v>
                </c:pt>
                <c:pt idx="8">
                  <c:v>11.059641211618242</c:v>
                </c:pt>
                <c:pt idx="9">
                  <c:v>10.818002283177734</c:v>
                </c:pt>
                <c:pt idx="10">
                  <c:v>11.513323649388127</c:v>
                </c:pt>
                <c:pt idx="11">
                  <c:v>14.400525346008834</c:v>
                </c:pt>
              </c:numCache>
            </c:numRef>
          </c:val>
          <c:smooth val="0"/>
          <c:extLst>
            <c:ext xmlns:c16="http://schemas.microsoft.com/office/drawing/2014/chart" uri="{C3380CC4-5D6E-409C-BE32-E72D297353CC}">
              <c16:uniqueId val="{00000010-3A70-4050-99FE-1F9C8749B4E5}"/>
            </c:ext>
          </c:extLst>
        </c:ser>
        <c:dLbls>
          <c:showLegendKey val="0"/>
          <c:showVal val="0"/>
          <c:showCatName val="0"/>
          <c:showSerName val="0"/>
          <c:showPercent val="0"/>
          <c:showBubbleSize val="0"/>
        </c:dLbls>
        <c:marker val="1"/>
        <c:smooth val="0"/>
        <c:axId val="432426496"/>
        <c:axId val="339948608"/>
      </c:lineChart>
      <c:catAx>
        <c:axId val="43242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crossAx val="339948032"/>
        <c:crosses val="autoZero"/>
        <c:auto val="1"/>
        <c:lblAlgn val="ctr"/>
        <c:lblOffset val="100"/>
        <c:noMultiLvlLbl val="0"/>
      </c:catAx>
      <c:valAx>
        <c:axId val="339948032"/>
        <c:scaling>
          <c:orientation val="minMax"/>
          <c:max val="65"/>
          <c:min val="-3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32423424"/>
        <c:crosses val="autoZero"/>
        <c:crossBetween val="between"/>
        <c:majorUnit val="15"/>
      </c:valAx>
      <c:valAx>
        <c:axId val="339948608"/>
        <c:scaling>
          <c:orientation val="minMax"/>
          <c:max val="15"/>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32426496"/>
        <c:crosses val="max"/>
        <c:crossBetween val="between"/>
        <c:majorUnit val="5"/>
      </c:valAx>
      <c:catAx>
        <c:axId val="432426496"/>
        <c:scaling>
          <c:orientation val="minMax"/>
        </c:scaling>
        <c:delete val="1"/>
        <c:axPos val="b"/>
        <c:numFmt formatCode="General" sourceLinked="1"/>
        <c:majorTickMark val="out"/>
        <c:minorTickMark val="none"/>
        <c:tickLblPos val="none"/>
        <c:crossAx val="339948608"/>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598425196851E-2"/>
          <c:y val="0.80816416783518497"/>
          <c:w val="0.92687606666201161"/>
          <c:h val="0.1853510948117786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987248137761581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Sheet1!$B$3:$M$3</c:f>
              <c:numCache>
                <c:formatCode>0.0</c:formatCode>
                <c:ptCount val="12"/>
                <c:pt idx="0">
                  <c:v>-1.7725793345415239</c:v>
                </c:pt>
                <c:pt idx="1">
                  <c:v>-3.312866777662415</c:v>
                </c:pt>
                <c:pt idx="2">
                  <c:v>-3.153145931636363</c:v>
                </c:pt>
                <c:pt idx="3">
                  <c:v>-2.7440891621267798</c:v>
                </c:pt>
                <c:pt idx="4">
                  <c:v>-2.4032085208687946</c:v>
                </c:pt>
                <c:pt idx="5">
                  <c:v>-2.0623278796108093</c:v>
                </c:pt>
                <c:pt idx="6">
                  <c:v>-1.6703151421641269</c:v>
                </c:pt>
                <c:pt idx="7">
                  <c:v>-1.3294345009061417</c:v>
                </c:pt>
                <c:pt idx="8">
                  <c:v>-0.97150982758525828</c:v>
                </c:pt>
                <c:pt idx="9">
                  <c:v>-0.51132096188697773</c:v>
                </c:pt>
                <c:pt idx="10">
                  <c:v>8.5220160314496293E-2</c:v>
                </c:pt>
                <c:pt idx="11">
                  <c:v>0.80106950695626566</c:v>
                </c:pt>
              </c:numCache>
            </c:numRef>
          </c:val>
          <c:extLst>
            <c:ext xmlns:c16="http://schemas.microsoft.com/office/drawing/2014/chart" uri="{C3380CC4-5D6E-409C-BE32-E72D297353CC}">
              <c16:uniqueId val="{00000000-D632-4242-8003-D3B76EE28C8E}"/>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0.88461684742212265</c:v>
                </c:pt>
                <c:pt idx="5" formatCode="0.0">
                  <c:v>0.61501933201728509</c:v>
                </c:pt>
                <c:pt idx="8" formatCode="0.0">
                  <c:v>0.50549534138407015</c:v>
                </c:pt>
                <c:pt idx="11" formatCode="0.0">
                  <c:v>0.47179565195846496</c:v>
                </c:pt>
              </c:numCache>
            </c:numRef>
          </c:val>
          <c:extLst>
            <c:ext xmlns:c16="http://schemas.microsoft.com/office/drawing/2014/chart" uri="{C3380CC4-5D6E-409C-BE32-E72D297353CC}">
              <c16:uniqueId val="{00000001-D632-4242-8003-D3B76EE28C8E}"/>
            </c:ext>
          </c:extLst>
        </c:ser>
        <c:ser>
          <c:idx val="3"/>
          <c:order val="3"/>
          <c:tx>
            <c:strRef>
              <c:f>Sheet1!$A$5</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Sheet1!$B$5:$M$5</c:f>
              <c:numCache>
                <c:formatCode>0.0</c:formatCode>
                <c:ptCount val="12"/>
                <c:pt idx="0">
                  <c:v>0.88457953444758342</c:v>
                </c:pt>
                <c:pt idx="1">
                  <c:v>0.93033364829832121</c:v>
                </c:pt>
                <c:pt idx="2">
                  <c:v>1.0370932472833738</c:v>
                </c:pt>
                <c:pt idx="3">
                  <c:v>1.1438528462684274</c:v>
                </c:pt>
                <c:pt idx="4">
                  <c:v>1.3039922447460068</c:v>
                </c:pt>
                <c:pt idx="5">
                  <c:v>1.4107518437310604</c:v>
                </c:pt>
                <c:pt idx="6">
                  <c:v>1.5403884996414825</c:v>
                </c:pt>
                <c:pt idx="7">
                  <c:v>1.5556398709250616</c:v>
                </c:pt>
                <c:pt idx="8">
                  <c:v>1.5785169278504301</c:v>
                </c:pt>
                <c:pt idx="9">
                  <c:v>1.5708912422086398</c:v>
                </c:pt>
                <c:pt idx="10">
                  <c:v>1.5327628139996923</c:v>
                </c:pt>
                <c:pt idx="11">
                  <c:v>1.5403884996414825</c:v>
                </c:pt>
              </c:numCache>
            </c:numRef>
          </c:val>
          <c:extLst>
            <c:ext xmlns:c16="http://schemas.microsoft.com/office/drawing/2014/chart" uri="{C3380CC4-5D6E-409C-BE32-E72D297353CC}">
              <c16:uniqueId val="{00000002-D632-4242-8003-D3B76EE28C8E}"/>
            </c:ext>
          </c:extLst>
        </c:ser>
        <c:ser>
          <c:idx val="4"/>
          <c:order val="4"/>
          <c:tx>
            <c:strRef>
              <c:f>Sheet1!$A$6</c:f>
              <c:strCache>
                <c:ptCount val="1"/>
                <c:pt idx="0">
                  <c:v>ծառայություններ</c:v>
                </c:pt>
              </c:strCache>
            </c:strRef>
          </c:tx>
          <c:spPr>
            <a:solidFill>
              <a:srgbClr val="4F81BD">
                <a:lumMod val="75000"/>
              </a:srgbClr>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Sheet1!$B$6:$M$6</c:f>
              <c:numCache>
                <c:formatCode>0.0</c:formatCode>
                <c:ptCount val="12"/>
                <c:pt idx="0">
                  <c:v>6.330162578263022</c:v>
                </c:pt>
                <c:pt idx="1">
                  <c:v>6.1750938842440366</c:v>
                </c:pt>
                <c:pt idx="2">
                  <c:v>5.8181566607420612</c:v>
                </c:pt>
                <c:pt idx="3">
                  <c:v>5.3330628381308829</c:v>
                </c:pt>
                <c:pt idx="4">
                  <c:v>5.6296939075193677</c:v>
                </c:pt>
                <c:pt idx="5">
                  <c:v>5.5599596206082911</c:v>
                </c:pt>
                <c:pt idx="6">
                  <c:v>5.7318304865370573</c:v>
                </c:pt>
                <c:pt idx="7">
                  <c:v>5.5439423479967278</c:v>
                </c:pt>
                <c:pt idx="8">
                  <c:v>5.4943723871761527</c:v>
                </c:pt>
                <c:pt idx="9">
                  <c:v>5.6037504791180757</c:v>
                </c:pt>
                <c:pt idx="10">
                  <c:v>5.6556370576284323</c:v>
                </c:pt>
                <c:pt idx="11">
                  <c:v>5.4999773220973687</c:v>
                </c:pt>
              </c:numCache>
            </c:numRef>
          </c:val>
          <c:extLst>
            <c:ext xmlns:c16="http://schemas.microsoft.com/office/drawing/2014/chart" uri="{C3380CC4-5D6E-409C-BE32-E72D297353CC}">
              <c16:uniqueId val="{00000003-D632-4242-8003-D3B76EE28C8E}"/>
            </c:ext>
          </c:extLst>
        </c:ser>
        <c:ser>
          <c:idx val="5"/>
          <c:order val="5"/>
          <c:tx>
            <c:strRef>
              <c:f>Sheet1!$A$7</c:f>
              <c:strCache>
                <c:ptCount val="1"/>
                <c:pt idx="0">
                  <c:v>առևտուր</c:v>
                </c:pt>
              </c:strCache>
            </c:strRef>
          </c:tx>
          <c:spPr>
            <a:solidFill>
              <a:srgbClr val="FAC090"/>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Sheet1!$B$7:$M$7</c:f>
              <c:numCache>
                <c:formatCode>0.0</c:formatCode>
                <c:ptCount val="12"/>
                <c:pt idx="0">
                  <c:v>2.1927420885693962</c:v>
                </c:pt>
                <c:pt idx="1">
                  <c:v>1.2758893357206267</c:v>
                </c:pt>
                <c:pt idx="2">
                  <c:v>0.97360553851647735</c:v>
                </c:pt>
                <c:pt idx="3">
                  <c:v>0.87074783593410643</c:v>
                </c:pt>
                <c:pt idx="4">
                  <c:v>0.71608223130087079</c:v>
                </c:pt>
                <c:pt idx="5">
                  <c:v>0.67485617120746277</c:v>
                </c:pt>
                <c:pt idx="6">
                  <c:v>0.63763888588560258</c:v>
                </c:pt>
                <c:pt idx="7">
                  <c:v>0.58573247571374398</c:v>
                </c:pt>
                <c:pt idx="8">
                  <c:v>0.52565734999951297</c:v>
                </c:pt>
                <c:pt idx="9">
                  <c:v>0.4806010057138409</c:v>
                </c:pt>
                <c:pt idx="10">
                  <c:v>0.45056344285672545</c:v>
                </c:pt>
                <c:pt idx="11">
                  <c:v>0.45056344285672545</c:v>
                </c:pt>
              </c:numCache>
            </c:numRef>
          </c:val>
          <c:extLst>
            <c:ext xmlns:c16="http://schemas.microsoft.com/office/drawing/2014/chart" uri="{C3380CC4-5D6E-409C-BE32-E72D297353CC}">
              <c16:uniqueId val="{00000004-D632-4242-8003-D3B76EE28C8E}"/>
            </c:ext>
          </c:extLst>
        </c:ser>
        <c:ser>
          <c:idx val="6"/>
          <c:order val="6"/>
          <c:tx>
            <c:strRef>
              <c:f>Sheet1!$A$8</c:f>
              <c:strCache>
                <c:ptCount val="1"/>
                <c:pt idx="0">
                  <c:v>այլ </c:v>
                </c:pt>
              </c:strCache>
            </c:strRef>
          </c:tx>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Sheet1!$B$8:$M$8</c:f>
              <c:numCache>
                <c:formatCode>0.0</c:formatCode>
                <c:ptCount val="12"/>
                <c:pt idx="0">
                  <c:v>-0.29228159450206892</c:v>
                </c:pt>
                <c:pt idx="1">
                  <c:v>-0.93823593097872582</c:v>
                </c:pt>
                <c:pt idx="2">
                  <c:v>-1.6426439007284446</c:v>
                </c:pt>
                <c:pt idx="3">
                  <c:v>-4.1598188946402881E-2</c:v>
                </c:pt>
                <c:pt idx="4">
                  <c:v>0.72967408000660527</c:v>
                </c:pt>
                <c:pt idx="5">
                  <c:v>0.43949091292648623</c:v>
                </c:pt>
                <c:pt idx="6">
                  <c:v>0.86607048542877196</c:v>
                </c:pt>
                <c:pt idx="7">
                  <c:v>0.89239472382554563</c:v>
                </c:pt>
                <c:pt idx="8">
                  <c:v>0.65009415313829333</c:v>
                </c:pt>
                <c:pt idx="9">
                  <c:v>1.0014075413695869</c:v>
                </c:pt>
                <c:pt idx="10">
                  <c:v>0.77953259899743532</c:v>
                </c:pt>
                <c:pt idx="11">
                  <c:v>0.4109578655791033</c:v>
                </c:pt>
              </c:numCache>
            </c:numRef>
          </c:val>
          <c:extLst>
            <c:ext xmlns:c16="http://schemas.microsoft.com/office/drawing/2014/chart" uri="{C3380CC4-5D6E-409C-BE32-E72D297353CC}">
              <c16:uniqueId val="{00000005-D632-4242-8003-D3B76EE28C8E}"/>
            </c:ext>
          </c:extLst>
        </c:ser>
        <c:dLbls>
          <c:showLegendKey val="0"/>
          <c:showVal val="0"/>
          <c:showCatName val="0"/>
          <c:showSerName val="0"/>
          <c:showPercent val="0"/>
          <c:showBubbleSize val="0"/>
        </c:dLbls>
        <c:gapWidth val="150"/>
        <c:overlap val="100"/>
        <c:axId val="378312704"/>
        <c:axId val="33995033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1780415909549767E-2"/>
                  <c:y val="-3.891702477282505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32-4242-8003-D3B76EE28C8E}"/>
                </c:ext>
              </c:extLst>
            </c:dLbl>
            <c:dLbl>
              <c:idx val="1"/>
              <c:layout>
                <c:manualLayout>
                  <c:x val="-6.5948879466989699E-2"/>
                  <c:y val="-4.550030324550444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632-4242-8003-D3B76EE28C8E}"/>
                </c:ext>
              </c:extLst>
            </c:dLbl>
            <c:dLbl>
              <c:idx val="2"/>
              <c:layout>
                <c:manualLayout>
                  <c:x val="-6.1538461538461577E-2"/>
                  <c:y val="-4.378554063230575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632-4242-8003-D3B76EE28C8E}"/>
                </c:ext>
              </c:extLst>
            </c:dLbl>
            <c:dLbl>
              <c:idx val="3"/>
              <c:layout>
                <c:manualLayout>
                  <c:x val="-5.769981829194424E-2"/>
                  <c:y val="-4.063126901764007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32-4242-8003-D3B76EE28C8E}"/>
                </c:ext>
              </c:extLst>
            </c:dLbl>
            <c:dLbl>
              <c:idx val="4"/>
              <c:layout>
                <c:manualLayout>
                  <c:x val="-5.3355299818292019E-2"/>
                  <c:y val="-4.1959328816616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632-4242-8003-D3B76EE28C8E}"/>
                </c:ext>
              </c:extLst>
            </c:dLbl>
            <c:dLbl>
              <c:idx val="5"/>
              <c:layout>
                <c:manualLayout>
                  <c:x val="-5.3333333333333337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632-4242-8003-D3B76EE28C8E}"/>
                </c:ext>
              </c:extLst>
            </c:dLbl>
            <c:dLbl>
              <c:idx val="6"/>
              <c:layout>
                <c:manualLayout>
                  <c:x val="-6.564102564102571E-2"/>
                  <c:y val="-4.60829493087557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632-4242-8003-D3B76EE28C8E}"/>
                </c:ext>
              </c:extLst>
            </c:dLbl>
            <c:dLbl>
              <c:idx val="7"/>
              <c:layout>
                <c:manualLayout>
                  <c:x val="-5.7435897435897436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632-4242-8003-D3B76EE28C8E}"/>
                </c:ext>
              </c:extLst>
            </c:dLbl>
            <c:dLbl>
              <c:idx val="8"/>
              <c:layout>
                <c:manualLayout>
                  <c:x val="-5.3333333333333482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632-4242-8003-D3B76EE28C8E}"/>
                </c:ext>
              </c:extLst>
            </c:dLbl>
            <c:dLbl>
              <c:idx val="9"/>
              <c:layout>
                <c:manualLayout>
                  <c:x val="-6.1538461538461688E-2"/>
                  <c:y val="-3.949967083607639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632-4242-8003-D3B76EE28C8E}"/>
                </c:ext>
              </c:extLst>
            </c:dLbl>
            <c:dLbl>
              <c:idx val="10"/>
              <c:layout>
                <c:manualLayout>
                  <c:x val="-6.1538461538461688E-2"/>
                  <c:y val="-3.949967083607633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632-4242-8003-D3B76EE28C8E}"/>
                </c:ext>
              </c:extLst>
            </c:dLbl>
            <c:dLbl>
              <c:idx val="11"/>
              <c:layout>
                <c:manualLayout>
                  <c:x val="-2.0512820512820662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632-4242-8003-D3B76EE28C8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Sheet1!$B$2:$M$2</c:f>
              <c:numCache>
                <c:formatCode>0.0</c:formatCode>
                <c:ptCount val="12"/>
                <c:pt idx="0">
                  <c:v>7.3426232722364091</c:v>
                </c:pt>
                <c:pt idx="1">
                  <c:v>4.1302141596218434</c:v>
                </c:pt>
                <c:pt idx="2">
                  <c:v>3.9176824615992274</c:v>
                </c:pt>
                <c:pt idx="3">
                  <c:v>4.5619761692602339</c:v>
                </c:pt>
                <c:pt idx="4">
                  <c:v>5.9762339427040558</c:v>
                </c:pt>
                <c:pt idx="5">
                  <c:v>6.6377500008797767</c:v>
                </c:pt>
                <c:pt idx="6">
                  <c:v>7.1056132153287876</c:v>
                </c:pt>
                <c:pt idx="7">
                  <c:v>7.2482749175549372</c:v>
                </c:pt>
                <c:pt idx="8">
                  <c:v>7.7826263319632005</c:v>
                </c:pt>
                <c:pt idx="9">
                  <c:v>8.1453293065231662</c:v>
                </c:pt>
                <c:pt idx="10">
                  <c:v>8.503716073796781</c:v>
                </c:pt>
                <c:pt idx="11">
                  <c:v>9.1747522890894118</c:v>
                </c:pt>
              </c:numCache>
            </c:numRef>
          </c:val>
          <c:smooth val="0"/>
          <c:extLst>
            <c:ext xmlns:c16="http://schemas.microsoft.com/office/drawing/2014/chart" uri="{C3380CC4-5D6E-409C-BE32-E72D297353CC}">
              <c16:uniqueId val="{00000012-D632-4242-8003-D3B76EE28C8E}"/>
            </c:ext>
          </c:extLst>
        </c:ser>
        <c:dLbls>
          <c:showLegendKey val="0"/>
          <c:showVal val="0"/>
          <c:showCatName val="0"/>
          <c:showSerName val="0"/>
          <c:showPercent val="0"/>
          <c:showBubbleSize val="0"/>
        </c:dLbls>
        <c:marker val="1"/>
        <c:smooth val="0"/>
        <c:axId val="378312704"/>
        <c:axId val="339950336"/>
      </c:lineChart>
      <c:catAx>
        <c:axId val="3783127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9950336"/>
        <c:crosses val="autoZero"/>
        <c:auto val="1"/>
        <c:lblAlgn val="ctr"/>
        <c:lblOffset val="100"/>
        <c:noMultiLvlLbl val="0"/>
      </c:catAx>
      <c:valAx>
        <c:axId val="339950336"/>
        <c:scaling>
          <c:orientation val="minMax"/>
          <c:max val="12"/>
          <c:min val="-5"/>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8312704"/>
        <c:crosses val="autoZero"/>
        <c:crossBetween val="between"/>
        <c:majorUnit val="5"/>
      </c:valAx>
      <c:spPr>
        <a:solidFill>
          <a:sysClr val="window" lastClr="FFFFFF"/>
        </a:solidFill>
        <a:ln>
          <a:noFill/>
        </a:ln>
        <a:effectLst/>
      </c:spPr>
    </c:plotArea>
    <c:legend>
      <c:legendPos val="b"/>
      <c:layout>
        <c:manualLayout>
          <c:xMode val="edge"/>
          <c:yMode val="edge"/>
          <c:x val="3.9212662156607202E-2"/>
          <c:y val="0.78380617169397593"/>
          <c:w val="0.93458477517078753"/>
          <c:h val="0.21619382830602396"/>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7809486715230117E-2"/>
          <c:w val="0.87658476118247253"/>
          <c:h val="0.6067187039454292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-1.7725793345415239</c:v>
                </c:pt>
                <c:pt idx="1">
                  <c:v>-4.5337125287312015</c:v>
                </c:pt>
                <c:pt idx="2">
                  <c:v>-2.8804414186299758</c:v>
                </c:pt>
                <c:pt idx="3">
                  <c:v>-1.4828307894722359</c:v>
                </c:pt>
                <c:pt idx="4">
                  <c:v>-1.0055978917110573</c:v>
                </c:pt>
                <c:pt idx="5">
                  <c:v>-0.2045283847547916</c:v>
                </c:pt>
                <c:pt idx="6">
                  <c:v>0.71584934664176936</c:v>
                </c:pt>
                <c:pt idx="7">
                  <c:v>0.98855385964815656</c:v>
                </c:pt>
                <c:pt idx="8">
                  <c:v>1.7214472383528241</c:v>
                </c:pt>
                <c:pt idx="9">
                  <c:v>3.0508817392589682</c:v>
                </c:pt>
                <c:pt idx="10">
                  <c:v>5.4029581639390631</c:v>
                </c:pt>
                <c:pt idx="11">
                  <c:v>6.5789963762791128</c:v>
                </c:pt>
              </c:numCache>
            </c:numRef>
          </c:val>
          <c:extLst>
            <c:ext xmlns:c16="http://schemas.microsoft.com/office/drawing/2014/chart" uri="{C3380CC4-5D6E-409C-BE32-E72D297353CC}">
              <c16:uniqueId val="{00000000-1A99-41EC-A832-797008E5B585}"/>
            </c:ext>
          </c:extLst>
        </c:ser>
        <c:ser>
          <c:idx val="2"/>
          <c:order val="2"/>
          <c:tx>
            <c:strRef>
              <c:f>Sheet1!$A$4</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0.88457953444758342</c:v>
                </c:pt>
                <c:pt idx="1">
                  <c:v>0.96846207650726879</c:v>
                </c:pt>
                <c:pt idx="2">
                  <c:v>1.181981274477375</c:v>
                </c:pt>
                <c:pt idx="3">
                  <c:v>1.3649977298803238</c:v>
                </c:pt>
                <c:pt idx="4">
                  <c:v>1.6929022124772728</c:v>
                </c:pt>
                <c:pt idx="5">
                  <c:v>1.7234049550444301</c:v>
                </c:pt>
                <c:pt idx="6">
                  <c:v>1.9903039525070632</c:v>
                </c:pt>
                <c:pt idx="7">
                  <c:v>1.6090196704175874</c:v>
                </c:pt>
                <c:pt idx="8">
                  <c:v>1.6776508411936935</c:v>
                </c:pt>
                <c:pt idx="9">
                  <c:v>1.5327628139996923</c:v>
                </c:pt>
                <c:pt idx="10">
                  <c:v>1.3116179303877971</c:v>
                </c:pt>
                <c:pt idx="11">
                  <c:v>1.5632655565668507</c:v>
                </c:pt>
              </c:numCache>
            </c:numRef>
          </c:val>
          <c:extLst>
            <c:ext xmlns:c16="http://schemas.microsoft.com/office/drawing/2014/chart" uri="{C3380CC4-5D6E-409C-BE32-E72D297353CC}">
              <c16:uniqueId val="{00000001-1A99-41EC-A832-797008E5B585}"/>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6.3301625782630149</c:v>
                </c:pt>
                <c:pt idx="1">
                  <c:v>6.0188431072008948</c:v>
                </c:pt>
                <c:pt idx="2">
                  <c:v>5.1886578510352566</c:v>
                </c:pt>
                <c:pt idx="3">
                  <c:v>4.0471531238074983</c:v>
                </c:pt>
                <c:pt idx="4">
                  <c:v>6.7452552063458331</c:v>
                </c:pt>
                <c:pt idx="5">
                  <c:v>5.2405444295456061</c:v>
                </c:pt>
                <c:pt idx="6">
                  <c:v>6.6933686278354836</c:v>
                </c:pt>
                <c:pt idx="7">
                  <c:v>4.4103591733799679</c:v>
                </c:pt>
                <c:pt idx="8">
                  <c:v>5.1367712725249071</c:v>
                </c:pt>
                <c:pt idx="9">
                  <c:v>6.641482049325127</c:v>
                </c:pt>
                <c:pt idx="10">
                  <c:v>5.8112967931594888</c:v>
                </c:pt>
                <c:pt idx="11">
                  <c:v>4.2546994378489122</c:v>
                </c:pt>
              </c:numCache>
            </c:numRef>
          </c:val>
          <c:extLst>
            <c:ext xmlns:c16="http://schemas.microsoft.com/office/drawing/2014/chart" uri="{C3380CC4-5D6E-409C-BE32-E72D297353CC}">
              <c16:uniqueId val="{00000002-1A99-41EC-A832-797008E5B585}"/>
            </c:ext>
          </c:extLst>
        </c:ser>
        <c:ser>
          <c:idx val="4"/>
          <c:order val="4"/>
          <c:tx>
            <c:strRef>
              <c:f>Sheet1!$A$6</c:f>
              <c:strCache>
                <c:ptCount val="1"/>
                <c:pt idx="0">
                  <c:v>առևտուր</c:v>
                </c:pt>
              </c:strCache>
            </c:strRef>
          </c:tx>
          <c:spPr>
            <a:solidFill>
              <a:srgbClr val="FAC090"/>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2.1927420885693962</c:v>
                </c:pt>
                <c:pt idx="1">
                  <c:v>0.51063856857095635</c:v>
                </c:pt>
                <c:pt idx="2">
                  <c:v>0.51063856857095635</c:v>
                </c:pt>
                <c:pt idx="3">
                  <c:v>0.61577003857085721</c:v>
                </c:pt>
                <c:pt idx="4">
                  <c:v>0.1802253771426906</c:v>
                </c:pt>
                <c:pt idx="5">
                  <c:v>0.49561978714239757</c:v>
                </c:pt>
                <c:pt idx="6">
                  <c:v>0.45056344285672545</c:v>
                </c:pt>
                <c:pt idx="7">
                  <c:v>0.25531928428547818</c:v>
                </c:pt>
                <c:pt idx="8">
                  <c:v>0.13516903285701848</c:v>
                </c:pt>
                <c:pt idx="9">
                  <c:v>0.15018781428557515</c:v>
                </c:pt>
                <c:pt idx="10">
                  <c:v>0.22528172142836272</c:v>
                </c:pt>
                <c:pt idx="11">
                  <c:v>0.4806010057138409</c:v>
                </c:pt>
              </c:numCache>
            </c:numRef>
          </c:val>
          <c:extLst>
            <c:ext xmlns:c16="http://schemas.microsoft.com/office/drawing/2014/chart" uri="{C3380CC4-5D6E-409C-BE32-E72D297353CC}">
              <c16:uniqueId val="{00000003-1A99-41EC-A832-797008E5B585}"/>
            </c:ext>
          </c:extLst>
        </c:ser>
        <c:ser>
          <c:idx val="5"/>
          <c:order val="5"/>
          <c:tx>
            <c:strRef>
              <c:f>Sheet1!$A$7</c:f>
              <c:strCache>
                <c:ptCount val="1"/>
                <c:pt idx="0">
                  <c:v>այլ </c:v>
                </c:pt>
              </c:strCache>
            </c:strRef>
          </c:tx>
          <c:spPr>
            <a:solidFill>
              <a:srgbClr val="4F81BD">
                <a:lumMod val="60000"/>
                <a:lumOff val="40000"/>
              </a:srgbClr>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Sheet1!$B$7:$M$7</c:f>
              <c:numCache>
                <c:formatCode>0.0</c:formatCode>
                <c:ptCount val="12"/>
                <c:pt idx="0">
                  <c:v>-0.29228159450206181</c:v>
                </c:pt>
                <c:pt idx="1">
                  <c:v>-1.7224933246786009</c:v>
                </c:pt>
                <c:pt idx="2">
                  <c:v>-0.45051516672446201</c:v>
                </c:pt>
                <c:pt idx="3">
                  <c:v>1.7270579024627351</c:v>
                </c:pt>
                <c:pt idx="4">
                  <c:v>3.4951554117223216</c:v>
                </c:pt>
                <c:pt idx="5">
                  <c:v>2.1575774645551062</c:v>
                </c:pt>
                <c:pt idx="6">
                  <c:v>-0.43902578220076194</c:v>
                </c:pt>
                <c:pt idx="7">
                  <c:v>0.77649373225799501</c:v>
                </c:pt>
                <c:pt idx="8">
                  <c:v>2.3886028266897998</c:v>
                </c:pt>
                <c:pt idx="9">
                  <c:v>-0.5573121336916298</c:v>
                </c:pt>
                <c:pt idx="10">
                  <c:v>-1.2378309595265851</c:v>
                </c:pt>
                <c:pt idx="11">
                  <c:v>1.522962969600119</c:v>
                </c:pt>
              </c:numCache>
            </c:numRef>
          </c:val>
          <c:extLst>
            <c:ext xmlns:c16="http://schemas.microsoft.com/office/drawing/2014/chart" uri="{C3380CC4-5D6E-409C-BE32-E72D297353CC}">
              <c16:uniqueId val="{00000004-1A99-41EC-A832-797008E5B585}"/>
            </c:ext>
          </c:extLst>
        </c:ser>
        <c:dLbls>
          <c:showLegendKey val="0"/>
          <c:showVal val="0"/>
          <c:showCatName val="0"/>
          <c:showSerName val="0"/>
          <c:showPercent val="0"/>
          <c:showBubbleSize val="0"/>
        </c:dLbls>
        <c:gapWidth val="219"/>
        <c:overlap val="100"/>
        <c:axId val="380239872"/>
        <c:axId val="37181145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2406341054379151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A99-41EC-A832-797008E5B585}"/>
                </c:ext>
              </c:extLst>
            </c:dLbl>
            <c:dLbl>
              <c:idx val="1"/>
              <c:layout>
                <c:manualLayout>
                  <c:x val="-5.5496035997428757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99-41EC-A832-797008E5B585}"/>
                </c:ext>
              </c:extLst>
            </c:dLbl>
            <c:dLbl>
              <c:idx val="2"/>
              <c:layout>
                <c:manualLayout>
                  <c:x val="-6.3498951424729499E-2"/>
                  <c:y val="-5.07295543280971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A99-41EC-A832-797008E5B585}"/>
                </c:ext>
              </c:extLst>
            </c:dLbl>
            <c:dLbl>
              <c:idx val="3"/>
              <c:layout>
                <c:manualLayout>
                  <c:x val="-6.3498951424729541E-2"/>
                  <c:y val="-4.4096055157284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A99-41EC-A832-797008E5B585}"/>
                </c:ext>
              </c:extLst>
            </c:dLbl>
            <c:dLbl>
              <c:idx val="4"/>
              <c:layout>
                <c:manualLayout>
                  <c:x val="-6.4259864452876611E-2"/>
                  <c:y val="-5.73630534989096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A99-41EC-A832-797008E5B585}"/>
                </c:ext>
              </c:extLst>
            </c:dLbl>
            <c:dLbl>
              <c:idx val="5"/>
              <c:layout>
                <c:manualLayout>
                  <c:x val="-5.9363701242937092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A99-41EC-A832-797008E5B585}"/>
                </c:ext>
              </c:extLst>
            </c:dLbl>
            <c:dLbl>
              <c:idx val="6"/>
              <c:layout>
                <c:manualLayout>
                  <c:x val="-5.9363701242937092E-2"/>
                  <c:y val="-4.40960551572844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A99-41EC-A832-797008E5B585}"/>
                </c:ext>
              </c:extLst>
            </c:dLbl>
            <c:dLbl>
              <c:idx val="7"/>
              <c:layout>
                <c:manualLayout>
                  <c:x val="-6.8834453332073664E-2"/>
                  <c:y val="-5.73630534989096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A99-41EC-A832-797008E5B585}"/>
                </c:ext>
              </c:extLst>
            </c:dLbl>
            <c:dLbl>
              <c:idx val="8"/>
              <c:layout>
                <c:manualLayout>
                  <c:x val="-6.4259864452876611E-2"/>
                  <c:y val="-3.74625559864718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A99-41EC-A832-797008E5B585}"/>
                </c:ext>
              </c:extLst>
            </c:dLbl>
            <c:dLbl>
              <c:idx val="9"/>
              <c:layout>
                <c:manualLayout>
                  <c:x val="-7.0912707585003926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A99-41EC-A832-797008E5B585}"/>
                </c:ext>
              </c:extLst>
            </c:dLbl>
            <c:dLbl>
              <c:idx val="10"/>
              <c:layout>
                <c:manualLayout>
                  <c:x val="-5.8281551317763171E-2"/>
                  <c:y val="-5.73630534989096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A99-41EC-A832-797008E5B585}"/>
                </c:ext>
              </c:extLst>
            </c:dLbl>
            <c:dLbl>
              <c:idx val="11"/>
              <c:layout>
                <c:manualLayout>
                  <c:x val="-1.9871134064102285E-2"/>
                  <c:y val="-5.0729554328097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A99-41EC-A832-797008E5B585}"/>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7.3426232722364091</c:v>
                </c:pt>
                <c:pt idx="1">
                  <c:v>1.2417378988693173</c:v>
                </c:pt>
                <c:pt idx="2">
                  <c:v>3.5503211087291504</c:v>
                </c:pt>
                <c:pt idx="3">
                  <c:v>6.2721480052491785</c:v>
                </c:pt>
                <c:pt idx="4">
                  <c:v>11.107940315977061</c:v>
                </c:pt>
                <c:pt idx="5">
                  <c:v>9.4126182515327486</c:v>
                </c:pt>
                <c:pt idx="6">
                  <c:v>9.4110595876402812</c:v>
                </c:pt>
                <c:pt idx="7">
                  <c:v>8.0397457199891846</c:v>
                </c:pt>
                <c:pt idx="8">
                  <c:v>11.059641211618242</c:v>
                </c:pt>
                <c:pt idx="9">
                  <c:v>10.818002283177734</c:v>
                </c:pt>
                <c:pt idx="10">
                  <c:v>11.513323649388127</c:v>
                </c:pt>
                <c:pt idx="11">
                  <c:v>14.400525346008834</c:v>
                </c:pt>
              </c:numCache>
            </c:numRef>
          </c:val>
          <c:smooth val="0"/>
          <c:extLst>
            <c:ext xmlns:c16="http://schemas.microsoft.com/office/drawing/2014/chart" uri="{C3380CC4-5D6E-409C-BE32-E72D297353CC}">
              <c16:uniqueId val="{00000011-1A99-41EC-A832-797008E5B585}"/>
            </c:ext>
          </c:extLst>
        </c:ser>
        <c:dLbls>
          <c:showLegendKey val="0"/>
          <c:showVal val="0"/>
          <c:showCatName val="0"/>
          <c:showSerName val="0"/>
          <c:showPercent val="0"/>
          <c:showBubbleSize val="0"/>
        </c:dLbls>
        <c:marker val="1"/>
        <c:smooth val="0"/>
        <c:axId val="380239872"/>
        <c:axId val="371811456"/>
      </c:lineChart>
      <c:catAx>
        <c:axId val="3802398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1456"/>
        <c:crosses val="autoZero"/>
        <c:auto val="1"/>
        <c:lblAlgn val="ctr"/>
        <c:lblOffset val="100"/>
        <c:noMultiLvlLbl val="0"/>
      </c:catAx>
      <c:valAx>
        <c:axId val="371811456"/>
        <c:scaling>
          <c:orientation val="minMax"/>
          <c:max val="16"/>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39872"/>
        <c:crosses val="autoZero"/>
        <c:crossBetween val="between"/>
        <c:majorUnit val="4"/>
      </c:valAx>
      <c:spPr>
        <a:solidFill>
          <a:sysClr val="window" lastClr="FFFFFF"/>
        </a:solidFill>
        <a:ln>
          <a:noFill/>
        </a:ln>
        <a:effectLst/>
      </c:spPr>
    </c:plotArea>
    <c:legend>
      <c:legendPos val="b"/>
      <c:layout>
        <c:manualLayout>
          <c:xMode val="edge"/>
          <c:yMode val="edge"/>
          <c:x val="4.7624630517399839E-2"/>
          <c:y val="0.81048201227682859"/>
          <c:w val="0.89929391995059982"/>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678147946515134"/>
        </c:manualLayout>
      </c:layout>
      <c:barChart>
        <c:barDir val="col"/>
        <c:grouping val="clustered"/>
        <c:varyColors val="0"/>
        <c:ser>
          <c:idx val="1"/>
          <c:order val="1"/>
          <c:tx>
            <c:strRef>
              <c:f>Sheet1!$C$1</c:f>
              <c:strCache>
                <c:ptCount val="1"/>
                <c:pt idx="0">
                  <c:v>Պետական սպառում</c:v>
                </c:pt>
              </c:strCache>
            </c:strRef>
          </c:tx>
          <c:spPr>
            <a:solidFill>
              <a:schemeClr val="accent2"/>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-0.92805433071689014</c:v>
                </c:pt>
                <c:pt idx="1">
                  <c:v>-0.3002967056533179</c:v>
                </c:pt>
                <c:pt idx="2">
                  <c:v>1.1910011532856974</c:v>
                </c:pt>
                <c:pt idx="3">
                  <c:v>-1.1494267119513319</c:v>
                </c:pt>
                <c:pt idx="4">
                  <c:v>0.50118563402395677</c:v>
                </c:pt>
              </c:numCache>
            </c:numRef>
          </c:val>
          <c:extLst>
            <c:ext xmlns:c16="http://schemas.microsoft.com/office/drawing/2014/chart" uri="{C3380CC4-5D6E-409C-BE32-E72D297353CC}">
              <c16:uniqueId val="{00000000-539E-4284-B481-B709E153ABA3}"/>
            </c:ext>
          </c:extLst>
        </c:ser>
        <c:ser>
          <c:idx val="2"/>
          <c:order val="2"/>
          <c:tx>
            <c:strRef>
              <c:f>Sheet1!$D$1</c:f>
              <c:strCache>
                <c:ptCount val="1"/>
                <c:pt idx="0">
                  <c:v>Մասնավոր սպառում</c:v>
                </c:pt>
              </c:strCache>
            </c:strRef>
          </c:tx>
          <c:spPr>
            <a:solidFill>
              <a:srgbClr val="4F81BD">
                <a:lumMod val="75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1.8310966077013253</c:v>
                </c:pt>
                <c:pt idx="1">
                  <c:v>3.8680809850679205</c:v>
                </c:pt>
                <c:pt idx="2">
                  <c:v>4.2242331325291467</c:v>
                </c:pt>
                <c:pt idx="3">
                  <c:v>5.2293875670010852</c:v>
                </c:pt>
                <c:pt idx="4">
                  <c:v>7.3179604258839568</c:v>
                </c:pt>
              </c:numCache>
            </c:numRef>
          </c:val>
          <c:extLst>
            <c:ext xmlns:c16="http://schemas.microsoft.com/office/drawing/2014/chart" uri="{C3380CC4-5D6E-409C-BE32-E72D297353CC}">
              <c16:uniqueId val="{00000001-539E-4284-B481-B709E153ABA3}"/>
            </c:ext>
          </c:extLst>
        </c:ser>
        <c:ser>
          <c:idx val="3"/>
          <c:order val="3"/>
          <c:tx>
            <c:strRef>
              <c:f>Sheet1!$E$1</c:f>
              <c:strCache>
                <c:ptCount val="1"/>
                <c:pt idx="0">
                  <c:v>Պետական ներդրումներ</c:v>
                </c:pt>
              </c:strCache>
            </c:strRef>
          </c:tx>
          <c:invertIfNegative val="0"/>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-1.3192181404927955E-2</c:v>
                </c:pt>
                <c:pt idx="1">
                  <c:v>2.1150248723730347</c:v>
                </c:pt>
                <c:pt idx="2">
                  <c:v>1.3839131020754549</c:v>
                </c:pt>
                <c:pt idx="3">
                  <c:v>0.7084934626827486</c:v>
                </c:pt>
                <c:pt idx="4">
                  <c:v>1.8141227776451896</c:v>
                </c:pt>
              </c:numCache>
            </c:numRef>
          </c:val>
          <c:extLst>
            <c:ext xmlns:c16="http://schemas.microsoft.com/office/drawing/2014/chart" uri="{C3380CC4-5D6E-409C-BE32-E72D297353CC}">
              <c16:uniqueId val="{00000002-539E-4284-B481-B709E153ABA3}"/>
            </c:ext>
          </c:extLst>
        </c:ser>
        <c:ser>
          <c:idx val="4"/>
          <c:order val="4"/>
          <c:tx>
            <c:strRef>
              <c:f>Sheet1!$F$1</c:f>
              <c:strCache>
                <c:ptCount val="1"/>
                <c:pt idx="0">
                  <c:v>Մասնավոր ներդրումներ</c:v>
                </c:pt>
              </c:strCache>
            </c:strRef>
          </c:tx>
          <c:invertIfNegative val="0"/>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4.2078375968794441</c:v>
                </c:pt>
                <c:pt idx="1">
                  <c:v>0.85352698864291465</c:v>
                </c:pt>
                <c:pt idx="2">
                  <c:v>0.51230708833113603</c:v>
                </c:pt>
                <c:pt idx="3">
                  <c:v>1.5957566726054335</c:v>
                </c:pt>
                <c:pt idx="4">
                  <c:v>1.5172642050866905</c:v>
                </c:pt>
              </c:numCache>
            </c:numRef>
          </c:val>
          <c:extLst>
            <c:ext xmlns:c16="http://schemas.microsoft.com/office/drawing/2014/chart" uri="{C3380CC4-5D6E-409C-BE32-E72D297353CC}">
              <c16:uniqueId val="{00000003-539E-4284-B481-B709E153ABA3}"/>
            </c:ext>
          </c:extLst>
        </c:ser>
        <c:ser>
          <c:idx val="5"/>
          <c:order val="5"/>
          <c:tx>
            <c:strRef>
              <c:f>Sheet1!$G$1</c:f>
              <c:strCache>
                <c:ptCount val="1"/>
                <c:pt idx="0">
                  <c:v>Զուտ արտահանում</c:v>
                </c:pt>
              </c:strCache>
            </c:strRef>
          </c:tx>
          <c:spPr>
            <a:solidFill>
              <a:srgbClr val="FAC090"/>
            </a:solidFill>
          </c:spPr>
          <c:invertIfNegative val="0"/>
          <c:cat>
            <c:numRef>
              <c:f>Sheet1!$A$2:$A$9</c:f>
              <c:numCache>
                <c:formatCode>General</c:formatCode>
                <c:ptCount val="5"/>
                <c:pt idx="0">
                  <c:v>2021</c:v>
                </c:pt>
                <c:pt idx="1">
                  <c:v>2022</c:v>
                </c:pt>
                <c:pt idx="2">
                  <c:v>2023</c:v>
                </c:pt>
                <c:pt idx="3">
                  <c:v>2024</c:v>
                </c:pt>
                <c:pt idx="4">
                  <c:v>2025</c:v>
                </c:pt>
              </c:numCache>
            </c:numRef>
          </c:cat>
          <c:val>
            <c:numRef>
              <c:f>Sheet1!$G$2:$G$9</c:f>
              <c:numCache>
                <c:formatCode>0.0</c:formatCode>
                <c:ptCount val="5"/>
                <c:pt idx="0">
                  <c:v>0.86880845874213719</c:v>
                </c:pt>
                <c:pt idx="1">
                  <c:v>6.4699015735311356</c:v>
                </c:pt>
                <c:pt idx="2">
                  <c:v>-0.34259809744911607</c:v>
                </c:pt>
                <c:pt idx="3">
                  <c:v>-0.82385009312022817</c:v>
                </c:pt>
                <c:pt idx="4">
                  <c:v>-4.3396016701095235</c:v>
                </c:pt>
              </c:numCache>
            </c:numRef>
          </c:val>
          <c:extLst>
            <c:ext xmlns:c16="http://schemas.microsoft.com/office/drawing/2014/chart" uri="{C3380CC4-5D6E-409C-BE32-E72D297353CC}">
              <c16:uniqueId val="{00000004-539E-4284-B481-B709E153ABA3}"/>
            </c:ext>
          </c:extLst>
        </c:ser>
        <c:ser>
          <c:idx val="6"/>
          <c:order val="6"/>
          <c:tx>
            <c:strRef>
              <c:f>Sheet1!$H$1</c:f>
              <c:strCache>
                <c:ptCount val="1"/>
              </c:strCache>
            </c:strRef>
          </c:tx>
          <c:spPr>
            <a:solidFill>
              <a:srgbClr val="93A9CF"/>
            </a:solidFill>
          </c:spPr>
          <c:invertIfNegative val="0"/>
          <c:cat>
            <c:numRef>
              <c:f>Sheet1!$A$2:$A$9</c:f>
              <c:numCache>
                <c:formatCode>General</c:formatCode>
                <c:ptCount val="5"/>
                <c:pt idx="0">
                  <c:v>2021</c:v>
                </c:pt>
                <c:pt idx="1">
                  <c:v>2022</c:v>
                </c:pt>
                <c:pt idx="2">
                  <c:v>2023</c:v>
                </c:pt>
                <c:pt idx="3">
                  <c:v>2024</c:v>
                </c:pt>
                <c:pt idx="4">
                  <c:v>2025</c:v>
                </c:pt>
              </c:numCache>
            </c:numRef>
          </c:cat>
          <c:val>
            <c:numRef>
              <c:f>Sheet1!$H$2:$H$9</c:f>
              <c:numCache>
                <c:formatCode>General</c:formatCode>
                <c:ptCount val="5"/>
              </c:numCache>
            </c:numRef>
          </c:val>
          <c:extLst>
            <c:ext xmlns:c16="http://schemas.microsoft.com/office/drawing/2014/chart" uri="{C3380CC4-5D6E-409C-BE32-E72D297353CC}">
              <c16:uniqueId val="{00000005-539E-4284-B481-B709E153ABA3}"/>
            </c:ext>
          </c:extLst>
        </c:ser>
        <c:dLbls>
          <c:showLegendKey val="0"/>
          <c:showVal val="0"/>
          <c:showCatName val="0"/>
          <c:showSerName val="0"/>
          <c:showPercent val="0"/>
          <c:showBubbleSize val="0"/>
        </c:dLbls>
        <c:gapWidth val="150"/>
        <c:axId val="380241920"/>
        <c:axId val="371813184"/>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diamond"/>
            <c:size val="7"/>
            <c:spPr>
              <a:solidFill>
                <a:srgbClr val="1F497D"/>
              </a:solidFill>
              <a:ln>
                <a:noFill/>
              </a:ln>
            </c:spPr>
          </c:marker>
          <c:dLbls>
            <c:dLbl>
              <c:idx val="0"/>
              <c:layout>
                <c:manualLayout>
                  <c:x val="-6.1540910989729886E-2"/>
                  <c:y val="-4.8261108969770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39E-4284-B481-B709E153ABA3}"/>
                </c:ext>
              </c:extLst>
            </c:dLbl>
            <c:dLbl>
              <c:idx val="1"/>
              <c:layout>
                <c:manualLayout>
                  <c:x val="-6.9203376604951405E-2"/>
                  <c:y val="-4.4092285667088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9E-4284-B481-B709E153ABA3}"/>
                </c:ext>
              </c:extLst>
            </c:dLbl>
            <c:dLbl>
              <c:idx val="2"/>
              <c:layout>
                <c:manualLayout>
                  <c:x val="-5.3463227006534164E-2"/>
                  <c:y val="-5.3160618908650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39E-4284-B481-B709E153ABA3}"/>
                </c:ext>
              </c:extLst>
            </c:dLbl>
            <c:dLbl>
              <c:idx val="3"/>
              <c:layout>
                <c:manualLayout>
                  <c:x val="-5.5557920124849329E-2"/>
                  <c:y val="-5.14800947084411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39E-4284-B481-B709E153ABA3}"/>
                </c:ext>
              </c:extLst>
            </c:dLbl>
            <c:dLbl>
              <c:idx val="4"/>
              <c:layout>
                <c:manualLayout>
                  <c:x val="-5.7495921117968363E-2"/>
                  <c:y val="-4.69698805131876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39E-4284-B481-B709E153ABA3}"/>
                </c:ext>
              </c:extLst>
            </c:dLbl>
            <c:dLbl>
              <c:idx val="5"/>
              <c:layout>
                <c:manualLayout>
                  <c:x val="-4.5308665282235226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39E-4284-B481-B709E153ABA3}"/>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5.799999999999998</c:v>
                </c:pt>
                <c:pt idx="1">
                  <c:v>12.599999999999996</c:v>
                </c:pt>
                <c:pt idx="2">
                  <c:v>8.2999999999999972</c:v>
                </c:pt>
                <c:pt idx="3">
                  <c:v>5.9000000000000057</c:v>
                </c:pt>
                <c:pt idx="4">
                  <c:v>7.200000000000002</c:v>
                </c:pt>
              </c:numCache>
            </c:numRef>
          </c:val>
          <c:smooth val="0"/>
          <c:extLst>
            <c:ext xmlns:c16="http://schemas.microsoft.com/office/drawing/2014/chart" uri="{C3380CC4-5D6E-409C-BE32-E72D297353CC}">
              <c16:uniqueId val="{0000000C-539E-4284-B481-B709E153ABA3}"/>
            </c:ext>
          </c:extLst>
        </c:ser>
        <c:dLbls>
          <c:showLegendKey val="0"/>
          <c:showVal val="0"/>
          <c:showCatName val="0"/>
          <c:showSerName val="0"/>
          <c:showPercent val="0"/>
          <c:showBubbleSize val="0"/>
        </c:dLbls>
        <c:marker val="1"/>
        <c:smooth val="0"/>
        <c:axId val="380241920"/>
        <c:axId val="371813184"/>
      </c:lineChart>
      <c:catAx>
        <c:axId val="3802419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3184"/>
        <c:crosses val="autoZero"/>
        <c:auto val="1"/>
        <c:lblAlgn val="ctr"/>
        <c:lblOffset val="100"/>
        <c:noMultiLvlLbl val="0"/>
      </c:catAx>
      <c:valAx>
        <c:axId val="371813184"/>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41920"/>
        <c:crosses val="autoZero"/>
        <c:crossBetween val="between"/>
        <c:majorUnit val="6"/>
      </c:valAx>
      <c:spPr>
        <a:solidFill>
          <a:schemeClr val="bg1"/>
        </a:solidFill>
        <a:ln>
          <a:noFill/>
        </a:ln>
        <a:effectLst/>
      </c:spPr>
    </c:plotArea>
    <c:legend>
      <c:legendPos val="b"/>
      <c:layout>
        <c:manualLayout>
          <c:xMode val="edge"/>
          <c:yMode val="edge"/>
          <c:x val="1.1162973997619665E-2"/>
          <c:y val="0.75835243191565638"/>
          <c:w val="0.96880880880880882"/>
          <c:h val="0.24164756808434359"/>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7384789864229939"/>
          <c:h val="0.52630930408572452"/>
        </c:manualLayout>
      </c:layout>
      <c:barChart>
        <c:barDir val="col"/>
        <c:grouping val="stacked"/>
        <c:varyColors val="0"/>
        <c:ser>
          <c:idx val="1"/>
          <c:order val="1"/>
          <c:tx>
            <c:strRef>
              <c:f>Sheet1!$C$1</c:f>
              <c:strCache>
                <c:ptCount val="1"/>
                <c:pt idx="0">
                  <c:v>Պետական սպառում</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13.649850256968978</c:v>
                </c:pt>
                <c:pt idx="1">
                  <c:v>11.676481894957815</c:v>
                </c:pt>
                <c:pt idx="2">
                  <c:v>12.099228546856125</c:v>
                </c:pt>
                <c:pt idx="3">
                  <c:v>10.663524128169287</c:v>
                </c:pt>
                <c:pt idx="4">
                  <c:v>10.194386685119138</c:v>
                </c:pt>
              </c:numCache>
            </c:numRef>
          </c:val>
          <c:extLst>
            <c:ext xmlns:c16="http://schemas.microsoft.com/office/drawing/2014/chart" uri="{C3380CC4-5D6E-409C-BE32-E72D297353CC}">
              <c16:uniqueId val="{00000000-C953-45A6-A981-7E82DE12F848}"/>
            </c:ext>
          </c:extLst>
        </c:ser>
        <c:ser>
          <c:idx val="2"/>
          <c:order val="2"/>
          <c:tx>
            <c:strRef>
              <c:f>Sheet1!$D$1</c:f>
              <c:strCache>
                <c:ptCount val="1"/>
                <c:pt idx="0">
                  <c:v>Մասնավոր սպառում</c:v>
                </c:pt>
              </c:strCache>
            </c:strRef>
          </c:tx>
          <c:spPr>
            <a:solidFill>
              <a:srgbClr val="F79646">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71.297394490997689</c:v>
                </c:pt>
                <c:pt idx="1">
                  <c:v>66.805174421199283</c:v>
                </c:pt>
                <c:pt idx="2">
                  <c:v>66.361557127177562</c:v>
                </c:pt>
                <c:pt idx="3">
                  <c:v>68.317749204233834</c:v>
                </c:pt>
                <c:pt idx="4">
                  <c:v>71.103157181580073</c:v>
                </c:pt>
              </c:numCache>
            </c:numRef>
          </c:val>
          <c:extLst>
            <c:ext xmlns:c16="http://schemas.microsoft.com/office/drawing/2014/chart" uri="{C3380CC4-5D6E-409C-BE32-E72D297353CC}">
              <c16:uniqueId val="{00000001-C953-45A6-A981-7E82DE12F848}"/>
            </c:ext>
          </c:extLst>
        </c:ser>
        <c:ser>
          <c:idx val="3"/>
          <c:order val="3"/>
          <c:tx>
            <c:strRef>
              <c:f>Sheet1!$E$1</c:f>
              <c:strCache>
                <c:ptCount val="1"/>
                <c:pt idx="0">
                  <c:v>Պետական ներդրումներ</c:v>
                </c:pt>
              </c:strCache>
            </c:strRef>
          </c:tx>
          <c:invertIfNegative val="0"/>
          <c:dLbls>
            <c:delete val="1"/>
          </c:dLbls>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4.0655453896146412</c:v>
                </c:pt>
                <c:pt idx="1">
                  <c:v>5.3870790550138423</c:v>
                </c:pt>
                <c:pt idx="2">
                  <c:v>6.0658428505080044</c:v>
                </c:pt>
                <c:pt idx="3">
                  <c:v>6.3234028888355009</c:v>
                </c:pt>
                <c:pt idx="4">
                  <c:v>7.0593196520460939</c:v>
                </c:pt>
              </c:numCache>
            </c:numRef>
          </c:val>
          <c:extLst>
            <c:ext xmlns:c16="http://schemas.microsoft.com/office/drawing/2014/chart" uri="{C3380CC4-5D6E-409C-BE32-E72D297353CC}">
              <c16:uniqueId val="{00000002-C953-45A6-A981-7E82DE12F848}"/>
            </c:ext>
          </c:extLst>
        </c:ser>
        <c:ser>
          <c:idx val="4"/>
          <c:order val="4"/>
          <c:tx>
            <c:strRef>
              <c:f>Sheet1!$F$1</c:f>
              <c:strCache>
                <c:ptCount val="1"/>
                <c:pt idx="0">
                  <c:v>Մասնավոր ներդրումներ</c:v>
                </c:pt>
              </c:strCache>
            </c:strRef>
          </c:tx>
          <c:spPr>
            <a:solidFill>
              <a:srgbClr val="1F497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17.138396474784997</c:v>
                </c:pt>
                <c:pt idx="1">
                  <c:v>15.682034171726059</c:v>
                </c:pt>
                <c:pt idx="2">
                  <c:v>14.507819071707903</c:v>
                </c:pt>
                <c:pt idx="3">
                  <c:v>15.031641872266304</c:v>
                </c:pt>
                <c:pt idx="4">
                  <c:v>14.356208837894451</c:v>
                </c:pt>
              </c:numCache>
            </c:numRef>
          </c:val>
          <c:extLst>
            <c:ext xmlns:c16="http://schemas.microsoft.com/office/drawing/2014/chart" uri="{C3380CC4-5D6E-409C-BE32-E72D297353CC}">
              <c16:uniqueId val="{00000003-C953-45A6-A981-7E82DE12F848}"/>
            </c:ext>
          </c:extLst>
        </c:ser>
        <c:ser>
          <c:idx val="0"/>
          <c:order val="0"/>
          <c:tx>
            <c:strRef>
              <c:f>Sheet1!$B$1</c:f>
              <c:strCache>
                <c:ptCount val="1"/>
                <c:pt idx="0">
                  <c:v>ՀՆԱ</c:v>
                </c:pt>
              </c:strCache>
            </c:strRef>
          </c:tx>
          <c:spPr>
            <a:ln w="28575" cap="rnd">
              <a:solidFill>
                <a:schemeClr val="accent1"/>
              </a:solidFill>
              <a:round/>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Ref>
          </c:val>
          <c:extLst>
            <c:ext xmlns:c16="http://schemas.microsoft.com/office/drawing/2014/chart" uri="{C3380CC4-5D6E-409C-BE32-E72D297353CC}">
              <c16:uniqueId val="{00000004-C953-45A6-A981-7E82DE12F848}"/>
            </c:ext>
          </c:extLst>
        </c:ser>
        <c:ser>
          <c:idx val="5"/>
          <c:order val="5"/>
          <c:tx>
            <c:strRef>
              <c:f>Sheet1!$G$1</c:f>
              <c:strCache>
                <c:ptCount val="1"/>
                <c:pt idx="0">
                  <c:v>Արտահանում</c:v>
                </c:pt>
              </c:strCache>
            </c:strRef>
          </c:tx>
          <c:spPr>
            <a:solidFill>
              <a:srgbClr val="4F81BD">
                <a:lumMod val="40000"/>
                <a:lumOff val="6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Sheet1!$G$2:$G$9</c:f>
              <c:numCache>
                <c:formatCode>0.0</c:formatCode>
                <c:ptCount val="5"/>
                <c:pt idx="0">
                  <c:v>35.668892395293227</c:v>
                </c:pt>
                <c:pt idx="1">
                  <c:v>51.570920365649656</c:v>
                </c:pt>
                <c:pt idx="2">
                  <c:v>61.008329479156011</c:v>
                </c:pt>
                <c:pt idx="3">
                  <c:v>73.625354006718425</c:v>
                </c:pt>
                <c:pt idx="4">
                  <c:v>48.098902720525416</c:v>
                </c:pt>
              </c:numCache>
            </c:numRef>
          </c:val>
          <c:extLst>
            <c:ext xmlns:c16="http://schemas.microsoft.com/office/drawing/2014/chart" uri="{C3380CC4-5D6E-409C-BE32-E72D297353CC}">
              <c16:uniqueId val="{00000005-C953-45A6-A981-7E82DE12F848}"/>
            </c:ext>
          </c:extLst>
        </c:ser>
        <c:ser>
          <c:idx val="6"/>
          <c:order val="6"/>
          <c:tx>
            <c:strRef>
              <c:f>Sheet1!$H$1</c:f>
              <c:strCache>
                <c:ptCount val="1"/>
                <c:pt idx="0">
                  <c:v>Ներմուծում</c:v>
                </c:pt>
              </c:strCache>
            </c:strRef>
          </c:tx>
          <c:spPr>
            <a:solidFill>
              <a:srgbClr val="4F81BD">
                <a:lumMod val="75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Sheet1!$H$2:$H$9</c:f>
              <c:numCache>
                <c:formatCode>0.0</c:formatCode>
                <c:ptCount val="5"/>
                <c:pt idx="0">
                  <c:v>-43.580013369418005</c:v>
                </c:pt>
                <c:pt idx="1">
                  <c:v>-52.307708847858336</c:v>
                </c:pt>
                <c:pt idx="2">
                  <c:v>-62.410420598470942</c:v>
                </c:pt>
                <c:pt idx="3">
                  <c:v>-76.439372582023609</c:v>
                </c:pt>
                <c:pt idx="4">
                  <c:v>-53.60703367517624</c:v>
                </c:pt>
              </c:numCache>
            </c:numRef>
          </c:val>
          <c:extLst>
            <c:ext xmlns:c16="http://schemas.microsoft.com/office/drawing/2014/chart" uri="{C3380CC4-5D6E-409C-BE32-E72D297353CC}">
              <c16:uniqueId val="{00000006-C953-45A6-A981-7E82DE12F848}"/>
            </c:ext>
          </c:extLst>
        </c:ser>
        <c:ser>
          <c:idx val="7"/>
          <c:order val="7"/>
          <c:tx>
            <c:strRef>
              <c:f>Sheet1!$I$1</c:f>
              <c:strCache>
                <c:ptCount val="1"/>
                <c:pt idx="0">
                  <c:v>Վիճակագրական շեղում</c:v>
                </c:pt>
              </c:strCache>
            </c:strRef>
          </c:tx>
          <c:invertIfNegative val="0"/>
          <c:dLbls>
            <c:delete val="1"/>
          </c:dLbls>
          <c:cat>
            <c:numRef>
              <c:f>Sheet1!$A$2:$A$9</c:f>
              <c:numCache>
                <c:formatCode>General</c:formatCode>
                <c:ptCount val="5"/>
                <c:pt idx="0">
                  <c:v>2021</c:v>
                </c:pt>
                <c:pt idx="1">
                  <c:v>2022</c:v>
                </c:pt>
                <c:pt idx="2">
                  <c:v>2023</c:v>
                </c:pt>
                <c:pt idx="3">
                  <c:v>2024</c:v>
                </c:pt>
                <c:pt idx="4">
                  <c:v>2025</c:v>
                </c:pt>
              </c:numCache>
            </c:numRef>
          </c:cat>
          <c:val>
            <c:numRef>
              <c:f>Sheet1!$I$2:$I$9</c:f>
              <c:numCache>
                <c:formatCode>0.0</c:formatCode>
                <c:ptCount val="5"/>
                <c:pt idx="0">
                  <c:v>1.7599343617584671</c:v>
                </c:pt>
                <c:pt idx="1">
                  <c:v>1.1860189393116762</c:v>
                </c:pt>
                <c:pt idx="2">
                  <c:v>2.3676435230653285</c:v>
                </c:pt>
                <c:pt idx="3">
                  <c:v>2.4777004818002579</c:v>
                </c:pt>
                <c:pt idx="4">
                  <c:v>2.7950585980110625</c:v>
                </c:pt>
              </c:numCache>
            </c:numRef>
          </c:val>
          <c:extLst>
            <c:ext xmlns:c16="http://schemas.microsoft.com/office/drawing/2014/chart" uri="{C3380CC4-5D6E-409C-BE32-E72D297353CC}">
              <c16:uniqueId val="{00000007-C953-45A6-A981-7E82DE12F848}"/>
            </c:ext>
          </c:extLst>
        </c:ser>
        <c:dLbls>
          <c:dLblPos val="ctr"/>
          <c:showLegendKey val="0"/>
          <c:showVal val="1"/>
          <c:showCatName val="0"/>
          <c:showSerName val="0"/>
          <c:showPercent val="0"/>
          <c:showBubbleSize val="0"/>
        </c:dLbls>
        <c:gapWidth val="100"/>
        <c:overlap val="100"/>
        <c:axId val="380993536"/>
        <c:axId val="371812032"/>
      </c:barChart>
      <c:catAx>
        <c:axId val="380993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371812032"/>
        <c:crosses val="autoZero"/>
        <c:auto val="1"/>
        <c:lblAlgn val="ctr"/>
        <c:lblOffset val="300"/>
        <c:noMultiLvlLbl val="0"/>
      </c:catAx>
      <c:valAx>
        <c:axId val="371812032"/>
        <c:scaling>
          <c:orientation val="minMax"/>
          <c:max val="180"/>
          <c:min val="-8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380993536"/>
        <c:crosses val="autoZero"/>
        <c:crossBetween val="between"/>
        <c:majorUnit val="30"/>
      </c:valAx>
      <c:spPr>
        <a:solidFill>
          <a:schemeClr val="bg1"/>
        </a:solidFill>
        <a:ln>
          <a:noFill/>
        </a:ln>
        <a:effectLst/>
      </c:spPr>
    </c:plotArea>
    <c:legend>
      <c:legendPos val="b"/>
      <c:layout>
        <c:manualLayout>
          <c:xMode val="edge"/>
          <c:yMode val="edge"/>
          <c:x val="5.1314280159424519E-2"/>
          <c:y val="0.75835243191565638"/>
          <c:w val="0.8996668934901656"/>
          <c:h val="0.24164756808434359"/>
        </c:manualLayout>
      </c:layout>
      <c:overlay val="0"/>
      <c:spPr>
        <a:noFill/>
        <a:ln>
          <a:noFill/>
        </a:ln>
        <a:effectLst/>
      </c:spPr>
      <c:txPr>
        <a:bodyPr rot="0" vert="horz"/>
        <a:lstStyle/>
        <a:p>
          <a:pPr>
            <a:defRPr sz="700"/>
          </a:pPr>
          <a:endParaRPr lang="en-US"/>
        </a:p>
      </c:txPr>
    </c:legend>
    <c:plotVisOnly val="1"/>
    <c:dispBlanksAs val="gap"/>
    <c:showDLblsOverMax val="0"/>
  </c:chart>
  <c:spPr>
    <a:noFill/>
    <a:ln w="9525" cap="flat" cmpd="sng" algn="ctr">
      <a:solidFill>
        <a:schemeClr val="bg2"/>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352616637206066"/>
        </c:manualLayout>
      </c:layout>
      <c:barChart>
        <c:barDir val="col"/>
        <c:grouping val="clustered"/>
        <c:varyColors val="0"/>
        <c:ser>
          <c:idx val="1"/>
          <c:order val="0"/>
          <c:tx>
            <c:strRef>
              <c:f>Sheet1!$C$1</c:f>
              <c:strCache>
                <c:ptCount val="1"/>
                <c:pt idx="0">
                  <c:v>Գործազուրկներ, հազ. մարդ</c:v>
                </c:pt>
              </c:strCache>
            </c:strRef>
          </c:tx>
          <c:spPr>
            <a:solidFill>
              <a:srgbClr val="FAC090"/>
            </a:solidFill>
            <a:ln>
              <a:noFill/>
            </a:ln>
            <a:effectLst/>
          </c:spPr>
          <c:invertIfNegative val="0"/>
          <c:cat>
            <c:numRef>
              <c:f>Sheet1!$A$2:$A$8</c:f>
              <c:numCache>
                <c:formatCode>General</c:formatCode>
                <c:ptCount val="5"/>
                <c:pt idx="0">
                  <c:v>2021</c:v>
                </c:pt>
                <c:pt idx="1">
                  <c:v>2022</c:v>
                </c:pt>
                <c:pt idx="2">
                  <c:v>2023</c:v>
                </c:pt>
                <c:pt idx="3">
                  <c:v>2024</c:v>
                </c:pt>
                <c:pt idx="4">
                  <c:v>2025</c:v>
                </c:pt>
              </c:numCache>
            </c:numRef>
          </c:cat>
          <c:val>
            <c:numRef>
              <c:f>Sheet1!$C$2:$C$8</c:f>
              <c:numCache>
                <c:formatCode>0.0</c:formatCode>
                <c:ptCount val="5"/>
                <c:pt idx="0">
                  <c:v>199</c:v>
                </c:pt>
                <c:pt idx="1">
                  <c:v>176.6</c:v>
                </c:pt>
                <c:pt idx="2">
                  <c:v>166.72</c:v>
                </c:pt>
                <c:pt idx="3">
                  <c:v>181.21144703319072</c:v>
                </c:pt>
                <c:pt idx="4">
                  <c:v>172.28797611415513</c:v>
                </c:pt>
              </c:numCache>
            </c:numRef>
          </c:val>
          <c:extLst>
            <c:ext xmlns:c16="http://schemas.microsoft.com/office/drawing/2014/chart" uri="{C3380CC4-5D6E-409C-BE32-E72D297353CC}">
              <c16:uniqueId val="{00000000-8506-429E-A817-63AACAFB2B02}"/>
            </c:ext>
          </c:extLst>
        </c:ser>
        <c:ser>
          <c:idx val="0"/>
          <c:order val="2"/>
          <c:tx>
            <c:strRef>
              <c:f>Sheet1!$B$1</c:f>
              <c:strCache>
                <c:ptCount val="1"/>
                <c:pt idx="0">
                  <c:v>Զբաղվածներ, հազ. մարդ</c:v>
                </c:pt>
              </c:strCache>
            </c:strRef>
          </c:tx>
          <c:spPr>
            <a:solidFill>
              <a:srgbClr val="4F81BD">
                <a:lumMod val="40000"/>
                <a:lumOff val="60000"/>
              </a:srgbClr>
            </a:solidFill>
          </c:spPr>
          <c:invertIfNegative val="0"/>
          <c:cat>
            <c:numRef>
              <c:f>Sheet1!$A$2:$A$8</c:f>
              <c:numCache>
                <c:formatCode>General</c:formatCode>
                <c:ptCount val="5"/>
                <c:pt idx="0">
                  <c:v>2021</c:v>
                </c:pt>
                <c:pt idx="1">
                  <c:v>2022</c:v>
                </c:pt>
                <c:pt idx="2">
                  <c:v>2023</c:v>
                </c:pt>
                <c:pt idx="3">
                  <c:v>2024</c:v>
                </c:pt>
                <c:pt idx="4">
                  <c:v>2025</c:v>
                </c:pt>
              </c:numCache>
            </c:numRef>
          </c:cat>
          <c:val>
            <c:numRef>
              <c:f>Sheet1!$B$2:$B$8</c:f>
              <c:numCache>
                <c:formatCode>0.0</c:formatCode>
                <c:ptCount val="5"/>
                <c:pt idx="0">
                  <c:v>1088.3</c:v>
                </c:pt>
                <c:pt idx="1">
                  <c:v>1134.8</c:v>
                </c:pt>
                <c:pt idx="2">
                  <c:v>1174.431</c:v>
                </c:pt>
                <c:pt idx="3">
                  <c:v>1176.0697582269288</c:v>
                </c:pt>
                <c:pt idx="4">
                  <c:v>1177.2329569851522</c:v>
                </c:pt>
              </c:numCache>
            </c:numRef>
          </c:val>
          <c:extLst>
            <c:ext xmlns:c16="http://schemas.microsoft.com/office/drawing/2014/chart" uri="{C3380CC4-5D6E-409C-BE32-E72D297353CC}">
              <c16:uniqueId val="{00000001-8506-429E-A817-63AACAFB2B02}"/>
            </c:ext>
          </c:extLst>
        </c:ser>
        <c:dLbls>
          <c:showLegendKey val="0"/>
          <c:showVal val="0"/>
          <c:showCatName val="0"/>
          <c:showSerName val="0"/>
          <c:showPercent val="0"/>
          <c:showBubbleSize val="0"/>
        </c:dLbls>
        <c:gapWidth val="150"/>
        <c:axId val="380995584"/>
        <c:axId val="371814336"/>
      </c:barChart>
      <c:lineChart>
        <c:grouping val="standard"/>
        <c:varyColors val="0"/>
        <c:ser>
          <c:idx val="2"/>
          <c:order val="1"/>
          <c:tx>
            <c:strRef>
              <c:f>Sheet1!$D$1</c:f>
              <c:strCache>
                <c:ptCount val="1"/>
                <c:pt idx="0">
                  <c:v>Գործազրկության մակարդակ, %, աջ առանցք</c:v>
                </c:pt>
              </c:strCache>
            </c:strRef>
          </c:tx>
          <c:spPr>
            <a:ln>
              <a:solidFill>
                <a:srgbClr val="1F497D"/>
              </a:solidFill>
            </a:ln>
            <a:effectLst/>
          </c:spPr>
          <c:marker>
            <c:symbol val="diamond"/>
            <c:size val="7"/>
            <c:spPr>
              <a:solidFill>
                <a:srgbClr val="1F497D"/>
              </a:solidFill>
              <a:ln>
                <a:noFill/>
              </a:ln>
            </c:spPr>
          </c:marker>
          <c:dLbls>
            <c:dLbl>
              <c:idx val="0"/>
              <c:layout>
                <c:manualLayout>
                  <c:x val="-7.0110552763819112E-2"/>
                  <c:y val="-5.92134383202099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06-429E-A817-63AACAFB2B02}"/>
                </c:ext>
              </c:extLst>
            </c:dLbl>
            <c:dLbl>
              <c:idx val="1"/>
              <c:layout>
                <c:manualLayout>
                  <c:x val="-6.6090452261306568E-2"/>
                  <c:y val="-5.92134383202099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06-429E-A817-63AACAFB2B02}"/>
                </c:ext>
              </c:extLst>
            </c:dLbl>
            <c:dLbl>
              <c:idx val="2"/>
              <c:layout>
                <c:manualLayout>
                  <c:x val="-7.4130653266331656E-2"/>
                  <c:y val="-4.8546771653543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506-429E-A817-63AACAFB2B02}"/>
                </c:ext>
              </c:extLst>
            </c:dLbl>
            <c:dLbl>
              <c:idx val="3"/>
              <c:layout>
                <c:manualLayout>
                  <c:x val="-6.6090452261306679E-2"/>
                  <c:y val="-5.38801049868766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506-429E-A817-63AACAFB2B02}"/>
                </c:ext>
              </c:extLst>
            </c:dLbl>
            <c:dLbl>
              <c:idx val="4"/>
              <c:layout>
                <c:manualLayout>
                  <c:x val="-8.1612886624466058E-2"/>
                  <c:y val="-6.32526197383222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506-429E-A817-63AACAFB2B02}"/>
                </c:ext>
              </c:extLst>
            </c:dLbl>
            <c:dLbl>
              <c:idx val="5"/>
              <c:layout>
                <c:manualLayout>
                  <c:x val="-8.4705882352941173E-2"/>
                  <c:y val="-6.22181796653408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06-429E-A817-63AACAFB2B02}"/>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2021</c:v>
                </c:pt>
                <c:pt idx="1">
                  <c:v>2022</c:v>
                </c:pt>
                <c:pt idx="2">
                  <c:v>2023</c:v>
                </c:pt>
                <c:pt idx="3">
                  <c:v>2024</c:v>
                </c:pt>
                <c:pt idx="4">
                  <c:v>2025</c:v>
                </c:pt>
              </c:numCache>
            </c:numRef>
          </c:cat>
          <c:val>
            <c:numRef>
              <c:f>Sheet1!$D$2:$D$8</c:f>
              <c:numCache>
                <c:formatCode>0.0</c:formatCode>
                <c:ptCount val="5"/>
                <c:pt idx="0">
                  <c:v>15.458712032937155</c:v>
                </c:pt>
                <c:pt idx="1">
                  <c:v>13.467551284984367</c:v>
                </c:pt>
                <c:pt idx="2">
                  <c:v>12.43111327508983</c:v>
                </c:pt>
                <c:pt idx="3">
                  <c:v>13.351061396187367</c:v>
                </c:pt>
                <c:pt idx="4">
                  <c:v>12.766602717193789</c:v>
                </c:pt>
              </c:numCache>
            </c:numRef>
          </c:val>
          <c:smooth val="0"/>
          <c:extLst>
            <c:ext xmlns:c16="http://schemas.microsoft.com/office/drawing/2014/chart" uri="{C3380CC4-5D6E-409C-BE32-E72D297353CC}">
              <c16:uniqueId val="{00000008-8506-429E-A817-63AACAFB2B02}"/>
            </c:ext>
          </c:extLst>
        </c:ser>
        <c:dLbls>
          <c:showLegendKey val="0"/>
          <c:showVal val="0"/>
          <c:showCatName val="0"/>
          <c:showSerName val="0"/>
          <c:showPercent val="0"/>
          <c:showBubbleSize val="0"/>
        </c:dLbls>
        <c:marker val="1"/>
        <c:smooth val="0"/>
        <c:axId val="380996608"/>
        <c:axId val="371814912"/>
      </c:lineChart>
      <c:catAx>
        <c:axId val="38099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4336"/>
        <c:crosses val="autoZero"/>
        <c:auto val="1"/>
        <c:lblAlgn val="ctr"/>
        <c:lblOffset val="0"/>
        <c:noMultiLvlLbl val="0"/>
      </c:catAx>
      <c:valAx>
        <c:axId val="371814336"/>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995584"/>
        <c:crosses val="autoZero"/>
        <c:crossBetween val="between"/>
        <c:majorUnit val="300"/>
      </c:valAx>
      <c:valAx>
        <c:axId val="371814912"/>
        <c:scaling>
          <c:orientation val="minMax"/>
          <c:max val="22"/>
        </c:scaling>
        <c:delete val="0"/>
        <c:axPos val="r"/>
        <c:numFmt formatCode="0.0" sourceLinked="1"/>
        <c:majorTickMark val="out"/>
        <c:minorTickMark val="none"/>
        <c:tickLblPos val="nextTo"/>
        <c:spPr>
          <a:ln>
            <a:noFill/>
          </a:ln>
        </c:spPr>
        <c:txPr>
          <a:bodyPr/>
          <a:lstStyle/>
          <a:p>
            <a:pPr>
              <a:defRPr sz="700">
                <a:latin typeface="GHEA Grapalat" panose="02000506050000020003" pitchFamily="50" charset="0"/>
              </a:defRPr>
            </a:pPr>
            <a:endParaRPr lang="en-US"/>
          </a:p>
        </c:txPr>
        <c:crossAx val="380996608"/>
        <c:crosses val="max"/>
        <c:crossBetween val="between"/>
      </c:valAx>
      <c:catAx>
        <c:axId val="380996608"/>
        <c:scaling>
          <c:orientation val="minMax"/>
        </c:scaling>
        <c:delete val="1"/>
        <c:axPos val="b"/>
        <c:numFmt formatCode="General" sourceLinked="1"/>
        <c:majorTickMark val="out"/>
        <c:minorTickMark val="none"/>
        <c:tickLblPos val="nextTo"/>
        <c:crossAx val="371814912"/>
        <c:crosses val="autoZero"/>
        <c:auto val="1"/>
        <c:lblAlgn val="ctr"/>
        <c:lblOffset val="100"/>
        <c:noMultiLvlLbl val="0"/>
      </c:catAx>
      <c:spPr>
        <a:solidFill>
          <a:schemeClr val="bg1"/>
        </a:solidFill>
        <a:ln>
          <a:noFill/>
        </a:ln>
        <a:effectLst/>
      </c:spPr>
    </c:plotArea>
    <c:legend>
      <c:legendPos val="b"/>
      <c:layout>
        <c:manualLayout>
          <c:xMode val="edge"/>
          <c:yMode val="edge"/>
          <c:x val="3.0738148472181714E-2"/>
          <c:y val="0.68776688628207183"/>
          <c:w val="0.94024691358024692"/>
          <c:h val="0.2962327923295302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69698451911769166"/>
        </c:manualLayout>
      </c:layout>
      <c:barChart>
        <c:barDir val="col"/>
        <c:grouping val="clustered"/>
        <c:varyColors val="0"/>
        <c:ser>
          <c:idx val="1"/>
          <c:order val="1"/>
          <c:tx>
            <c:strRef>
              <c:f>Sheet1!$C$1</c:f>
              <c:strCache>
                <c:ptCount val="1"/>
                <c:pt idx="0">
                  <c:v>Պետական հատված</c:v>
                </c:pt>
              </c:strCache>
            </c:strRef>
          </c:tx>
          <c:spPr>
            <a:solidFill>
              <a:srgbClr val="FAC090"/>
            </a:solidFill>
            <a:effectLst/>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5.2330498519945507</c:v>
                </c:pt>
                <c:pt idx="1">
                  <c:v>4.3343342225992529</c:v>
                </c:pt>
                <c:pt idx="2">
                  <c:v>11.438429442601887</c:v>
                </c:pt>
                <c:pt idx="3">
                  <c:v>7.9112723991109988</c:v>
                </c:pt>
                <c:pt idx="4">
                  <c:v>6.478977242397832</c:v>
                </c:pt>
              </c:numCache>
            </c:numRef>
          </c:val>
          <c:extLst>
            <c:ext xmlns:c16="http://schemas.microsoft.com/office/drawing/2014/chart" uri="{C3380CC4-5D6E-409C-BE32-E72D297353CC}">
              <c16:uniqueId val="{00000000-F518-4005-B753-AABBEFC6B9F8}"/>
            </c:ext>
          </c:extLst>
        </c:ser>
        <c:ser>
          <c:idx val="2"/>
          <c:order val="2"/>
          <c:tx>
            <c:strRef>
              <c:f>Sheet1!$D$1</c:f>
              <c:strCache>
                <c:ptCount val="1"/>
                <c:pt idx="0">
                  <c:v>Մասնավոր հատված</c:v>
                </c:pt>
              </c:strCache>
            </c:strRef>
          </c:tx>
          <c:spPr>
            <a:solidFill>
              <a:srgbClr val="4F81BD"/>
            </a:solidFill>
          </c:spPr>
          <c:invertIfNegative val="0"/>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8.3979594401025253</c:v>
                </c:pt>
                <c:pt idx="1">
                  <c:v>19.037528863006202</c:v>
                </c:pt>
                <c:pt idx="2">
                  <c:v>14.956783896109968</c:v>
                </c:pt>
                <c:pt idx="3">
                  <c:v>5.6639063198839779</c:v>
                </c:pt>
                <c:pt idx="4">
                  <c:v>5.0524614555809109</c:v>
                </c:pt>
              </c:numCache>
            </c:numRef>
          </c:val>
          <c:extLst>
            <c:ext xmlns:c16="http://schemas.microsoft.com/office/drawing/2014/chart" uri="{C3380CC4-5D6E-409C-BE32-E72D297353CC}">
              <c16:uniqueId val="{00000001-F518-4005-B753-AABBEFC6B9F8}"/>
            </c:ext>
          </c:extLst>
        </c:ser>
        <c:dLbls>
          <c:showLegendKey val="0"/>
          <c:showVal val="0"/>
          <c:showCatName val="0"/>
          <c:showSerName val="0"/>
          <c:showPercent val="0"/>
          <c:showBubbleSize val="0"/>
        </c:dLbls>
        <c:gapWidth val="150"/>
        <c:axId val="381023232"/>
        <c:axId val="371816640"/>
      </c:barChart>
      <c:lineChart>
        <c:grouping val="standard"/>
        <c:varyColors val="0"/>
        <c:ser>
          <c:idx val="0"/>
          <c:order val="0"/>
          <c:tx>
            <c:strRef>
              <c:f>Sheet1!$B$1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8.6035441222021156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518-4005-B753-AABBEFC6B9F8}"/>
                </c:ext>
              </c:extLst>
            </c:dLbl>
            <c:dLbl>
              <c:idx val="1"/>
              <c:layout>
                <c:manualLayout>
                  <c:x val="-0.10622161360264754"/>
                  <c:y val="-3.01680285767007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518-4005-B753-AABBEFC6B9F8}"/>
                </c:ext>
              </c:extLst>
            </c:dLbl>
            <c:dLbl>
              <c:idx val="2"/>
              <c:layout>
                <c:manualLayout>
                  <c:x val="-7.2774490145253584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518-4005-B753-AABBEFC6B9F8}"/>
                </c:ext>
              </c:extLst>
            </c:dLbl>
            <c:dLbl>
              <c:idx val="3"/>
              <c:layout>
                <c:manualLayout>
                  <c:x val="-3.4699792960662605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518-4005-B753-AABBEFC6B9F8}"/>
                </c:ext>
              </c:extLst>
            </c:dLbl>
            <c:dLbl>
              <c:idx val="4"/>
              <c:layout>
                <c:manualLayout>
                  <c:x val="-5.7660618509642818E-2"/>
                  <c:y val="-5.43656859261952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518-4005-B753-AABBEFC6B9F8}"/>
                </c:ext>
              </c:extLst>
            </c:dLbl>
            <c:dLbl>
              <c:idx val="5"/>
              <c:layout>
                <c:manualLayout>
                  <c:x val="-2.6128364389233955E-2"/>
                  <c:y val="-2.3172575621121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518-4005-B753-AABBEFC6B9F8}"/>
                </c:ext>
              </c:extLst>
            </c:dLbl>
            <c:dLbl>
              <c:idx val="6"/>
              <c:layout>
                <c:manualLayout>
                  <c:x val="-3.1532254120408859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518-4005-B753-AABBEFC6B9F8}"/>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7.5544498091884691</c:v>
                </c:pt>
                <c:pt idx="1">
                  <c:v>15.45126636869756</c:v>
                </c:pt>
                <c:pt idx="2">
                  <c:v>14.610147043841465</c:v>
                </c:pt>
                <c:pt idx="3">
                  <c:v>6.3623636080801731</c:v>
                </c:pt>
                <c:pt idx="4">
                  <c:v>5.5604306826570848</c:v>
                </c:pt>
              </c:numCache>
            </c:numRef>
          </c:val>
          <c:smooth val="0"/>
          <c:extLst>
            <c:ext xmlns:c16="http://schemas.microsoft.com/office/drawing/2014/chart" uri="{C3380CC4-5D6E-409C-BE32-E72D297353CC}">
              <c16:uniqueId val="{00000009-F518-4005-B753-AABBEFC6B9F8}"/>
            </c:ext>
          </c:extLst>
        </c:ser>
        <c:dLbls>
          <c:showLegendKey val="0"/>
          <c:showVal val="0"/>
          <c:showCatName val="0"/>
          <c:showSerName val="0"/>
          <c:showPercent val="0"/>
          <c:showBubbleSize val="0"/>
        </c:dLbls>
        <c:marker val="1"/>
        <c:smooth val="0"/>
        <c:axId val="381023232"/>
        <c:axId val="371816640"/>
      </c:lineChart>
      <c:catAx>
        <c:axId val="381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6640"/>
        <c:crosses val="autoZero"/>
        <c:auto val="1"/>
        <c:lblAlgn val="ctr"/>
        <c:lblOffset val="0"/>
        <c:noMultiLvlLbl val="0"/>
      </c:catAx>
      <c:valAx>
        <c:axId val="371816640"/>
        <c:scaling>
          <c:orientation val="minMax"/>
          <c:max val="2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023232"/>
        <c:crosses val="autoZero"/>
        <c:crossBetween val="between"/>
        <c:majorUnit val="3"/>
      </c:valAx>
      <c:spPr>
        <a:solidFill>
          <a:schemeClr val="bg1"/>
        </a:solidFill>
        <a:ln>
          <a:noFill/>
        </a:ln>
        <a:effectLst/>
      </c:spPr>
    </c:plotArea>
    <c:legend>
      <c:legendPos val="b"/>
      <c:layout>
        <c:manualLayout>
          <c:xMode val="edge"/>
          <c:yMode val="edge"/>
          <c:x val="6.3659868603381103E-2"/>
          <c:y val="0.84690699077095954"/>
          <c:w val="0.9"/>
          <c:h val="0.1444847463322068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1855609342987057E-2"/>
          <c:y val="0.14693456194290941"/>
          <c:w val="0.95204136040339704"/>
          <c:h val="0.50275465260844843"/>
        </c:manualLayout>
      </c:layout>
      <c:barChart>
        <c:barDir val="col"/>
        <c:grouping val="clustered"/>
        <c:varyColors val="0"/>
        <c:ser>
          <c:idx val="0"/>
          <c:order val="1"/>
          <c:tx>
            <c:strRef>
              <c:f>Sheet1!$C$1</c:f>
              <c:strCache>
                <c:ptCount val="1"/>
                <c:pt idx="0">
                  <c:v>Միջին ամսական աշխատավարձի աճ, %</c:v>
                </c:pt>
              </c:strCache>
            </c:strRef>
          </c:tx>
          <c:spPr>
            <a:solidFill>
              <a:schemeClr val="tx2">
                <a:lumMod val="20000"/>
                <a:lumOff val="80000"/>
              </a:schemeClr>
            </a:solidFill>
            <a:ln>
              <a:noFill/>
            </a:ln>
            <a:effectLst/>
          </c:spPr>
          <c:invertIfNegative val="0"/>
          <c:dPt>
            <c:idx val="16"/>
            <c:invertIfNegative val="0"/>
            <c:bubble3D val="0"/>
            <c:spPr>
              <a:solidFill>
                <a:srgbClr val="C00000"/>
              </a:solidFill>
              <a:ln>
                <a:noFill/>
              </a:ln>
              <a:effectLst/>
            </c:spPr>
            <c:extLst>
              <c:ext xmlns:c16="http://schemas.microsoft.com/office/drawing/2014/chart" uri="{C3380CC4-5D6E-409C-BE32-E72D297353CC}">
                <c16:uniqueId val="{00000001-E560-4E5F-9C8B-8FEC1F5E601B}"/>
              </c:ext>
            </c:extLst>
          </c:dPt>
          <c:dLbls>
            <c:dLbl>
              <c:idx val="0"/>
              <c:layout>
                <c:manualLayout>
                  <c:x val="3.413668633841749E-3"/>
                  <c:y val="-1.057712306461645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560-4E5F-9C8B-8FEC1F5E601B}"/>
                </c:ext>
              </c:extLst>
            </c:dLbl>
            <c:dLbl>
              <c:idx val="3"/>
              <c:layout>
                <c:manualLayout>
                  <c:x val="-3.9184952978056423E-3"/>
                  <c:y val="2.01966784719595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60-4E5F-9C8B-8FEC1F5E601B}"/>
                </c:ext>
              </c:extLst>
            </c:dLbl>
            <c:dLbl>
              <c:idx val="4"/>
              <c:layout>
                <c:manualLayout>
                  <c:x val="0"/>
                  <c:y val="2.20919437472054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560-4E5F-9C8B-8FEC1F5E601B}"/>
                </c:ext>
              </c:extLst>
            </c:dLbl>
            <c:dLbl>
              <c:idx val="5"/>
              <c:layout>
                <c:manualLayout>
                  <c:x val="-1.1378895446139162E-3"/>
                  <c:y val="1.50126908013910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560-4E5F-9C8B-8FEC1F5E601B}"/>
                </c:ext>
              </c:extLst>
            </c:dLbl>
            <c:dLbl>
              <c:idx val="7"/>
              <c:layout>
                <c:manualLayout>
                  <c:x val="-3.4136686338417906E-3"/>
                  <c:y val="2.06993161049482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560-4E5F-9C8B-8FEC1F5E601B}"/>
                </c:ext>
              </c:extLst>
            </c:dLbl>
            <c:dLbl>
              <c:idx val="9"/>
              <c:layout>
                <c:manualLayout>
                  <c:x val="-7.1838250578169242E-17"/>
                  <c:y val="-1.24623406162357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560-4E5F-9C8B-8FEC1F5E601B}"/>
                </c:ext>
              </c:extLst>
            </c:dLbl>
            <c:dLbl>
              <c:idx val="10"/>
              <c:layout>
                <c:manualLayout>
                  <c:x val="3.413668633841749E-3"/>
                  <c:y val="-2.00263241497325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560-4E5F-9C8B-8FEC1F5E601B}"/>
                </c:ext>
              </c:extLst>
            </c:dLbl>
            <c:dLbl>
              <c:idx val="11"/>
              <c:layout>
                <c:manualLayout>
                  <c:x val="-8.3444269316367471E-17"/>
                  <c:y val="-3.09488985073951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560-4E5F-9C8B-8FEC1F5E601B}"/>
                </c:ext>
              </c:extLst>
            </c:dLbl>
            <c:dLbl>
              <c:idx val="13"/>
              <c:layout>
                <c:manualLayout>
                  <c:x val="1.1378895446139162E-3"/>
                  <c:y val="3.207256671206265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560-4E5F-9C8B-8FEC1F5E601B}"/>
                </c:ext>
              </c:extLst>
            </c:dLbl>
            <c:dLbl>
              <c:idx val="15"/>
              <c:layout>
                <c:manualLayout>
                  <c:x val="0"/>
                  <c:y val="3.73318941007527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560-4E5F-9C8B-8FEC1F5E601B}"/>
                </c:ext>
              </c:extLst>
            </c:dLbl>
            <c:dLbl>
              <c:idx val="16"/>
              <c:layout>
                <c:manualLayout>
                  <c:x val="1.1378895446139162E-3"/>
                  <c:y val="2.07002116364921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60-4E5F-9C8B-8FEC1F5E601B}"/>
                </c:ext>
              </c:extLst>
            </c:dLbl>
            <c:dLbl>
              <c:idx val="17"/>
              <c:layout>
                <c:manualLayout>
                  <c:x val="-3.9184952978056423E-3"/>
                  <c:y val="3.73318941007527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560-4E5F-9C8B-8FEC1F5E601B}"/>
                </c:ext>
              </c:extLst>
            </c:dLbl>
            <c:dLbl>
              <c:idx val="18"/>
              <c:layout>
                <c:manualLayout>
                  <c:x val="0"/>
                  <c:y val="1.21693781496124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560-4E5F-9C8B-8FEC1F5E601B}"/>
                </c:ext>
              </c:extLst>
            </c:dLbl>
            <c:dLbl>
              <c:idx val="19"/>
              <c:layout>
                <c:manualLayout>
                  <c:x val="-3.9184952978056423E-3"/>
                  <c:y val="1.28520899391859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560-4E5F-9C8B-8FEC1F5E60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GHEA Grapalat" panose="02000506050000020003" pitchFamily="50"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Sheet1!$A$2:$A$23</c:f>
              <c:strCache>
                <c:ptCount val="20"/>
                <c:pt idx="0">
                  <c:v>Ընդամենը</c:v>
                </c:pt>
                <c:pt idx="1">
                  <c:v>Գյուղատնտեսություն</c:v>
                </c:pt>
                <c:pt idx="2">
                  <c:v>Հանքագործություն</c:v>
                </c:pt>
                <c:pt idx="3">
                  <c:v>Մշակող արդյունաբերություն</c:v>
                </c:pt>
                <c:pt idx="4">
                  <c:v>Էլեկտրականություն</c:v>
                </c:pt>
                <c:pt idx="5">
                  <c:v>Ջրամատակարարում</c:v>
                </c:pt>
                <c:pt idx="6">
                  <c:v>Շինարարություն</c:v>
                </c:pt>
                <c:pt idx="7">
                  <c:v>Առևտուր</c:v>
                </c:pt>
                <c:pt idx="8">
                  <c:v>Փոխադրումներ</c:v>
                </c:pt>
                <c:pt idx="9">
                  <c:v>Կացություն</c:v>
                </c:pt>
                <c:pt idx="10">
                  <c:v>Տեղեկատվություն և կապ</c:v>
                </c:pt>
                <c:pt idx="11">
                  <c:v>Տեղեկատվական տեխնոլոգիաներ</c:v>
                </c:pt>
                <c:pt idx="12">
                  <c:v>Ֆինանսական և ապահովագրական</c:v>
                </c:pt>
                <c:pt idx="13">
                  <c:v>Անշարժ գույք</c:v>
                </c:pt>
                <c:pt idx="14">
                  <c:v>Մասնագիտական</c:v>
                </c:pt>
                <c:pt idx="15">
                  <c:v>Վարչարարական</c:v>
                </c:pt>
                <c:pt idx="16">
                  <c:v>Պետական կառավարում </c:v>
                </c:pt>
                <c:pt idx="17">
                  <c:v>Կրթություն</c:v>
                </c:pt>
                <c:pt idx="18">
                  <c:v>Առողջապահություն</c:v>
                </c:pt>
                <c:pt idx="19">
                  <c:v>Մշակույթ, զվարճություններ</c:v>
                </c:pt>
              </c:strCache>
            </c:strRef>
          </c:cat>
          <c:val>
            <c:numRef>
              <c:f>Sheet1!$C$2:$C$23</c:f>
              <c:numCache>
                <c:formatCode>0.0</c:formatCode>
                <c:ptCount val="21"/>
                <c:pt idx="0">
                  <c:v>5.5604306826570848</c:v>
                </c:pt>
                <c:pt idx="1">
                  <c:v>9.2988987529613922</c:v>
                </c:pt>
                <c:pt idx="2">
                  <c:v>9.7780416514431749</c:v>
                </c:pt>
                <c:pt idx="3">
                  <c:v>8.6470661739766825</c:v>
                </c:pt>
                <c:pt idx="4">
                  <c:v>3.1498673740053107</c:v>
                </c:pt>
                <c:pt idx="5">
                  <c:v>6.0422552215380989</c:v>
                </c:pt>
                <c:pt idx="6">
                  <c:v>2.8429989661123045</c:v>
                </c:pt>
                <c:pt idx="7">
                  <c:v>7.8495309314705821</c:v>
                </c:pt>
                <c:pt idx="8">
                  <c:v>12.915672669995445</c:v>
                </c:pt>
                <c:pt idx="9">
                  <c:v>5.8594079446740324</c:v>
                </c:pt>
                <c:pt idx="10">
                  <c:v>0.88301245056837274</c:v>
                </c:pt>
                <c:pt idx="11">
                  <c:v>-0.45208050645119613</c:v>
                </c:pt>
                <c:pt idx="12">
                  <c:v>5.5930949172759483</c:v>
                </c:pt>
                <c:pt idx="13">
                  <c:v>6.36734611319838</c:v>
                </c:pt>
                <c:pt idx="14">
                  <c:v>4.2757938552205843</c:v>
                </c:pt>
                <c:pt idx="15">
                  <c:v>12.562892024800007</c:v>
                </c:pt>
                <c:pt idx="16">
                  <c:v>-1.7563301850602784</c:v>
                </c:pt>
                <c:pt idx="17">
                  <c:v>8.4234147433068358</c:v>
                </c:pt>
                <c:pt idx="18">
                  <c:v>5.9890643985419274</c:v>
                </c:pt>
                <c:pt idx="19">
                  <c:v>8.6573234837503037</c:v>
                </c:pt>
              </c:numCache>
            </c:numRef>
          </c:val>
          <c:extLst>
            <c:ext xmlns:c16="http://schemas.microsoft.com/office/drawing/2014/chart" uri="{C3380CC4-5D6E-409C-BE32-E72D297353CC}">
              <c16:uniqueId val="{0000000F-E560-4E5F-9C8B-8FEC1F5E601B}"/>
            </c:ext>
          </c:extLst>
        </c:ser>
        <c:dLbls>
          <c:showLegendKey val="0"/>
          <c:showVal val="0"/>
          <c:showCatName val="0"/>
          <c:showSerName val="0"/>
          <c:showPercent val="0"/>
          <c:showBubbleSize val="0"/>
        </c:dLbls>
        <c:gapWidth val="150"/>
        <c:axId val="294885888"/>
        <c:axId val="294595968"/>
      </c:barChart>
      <c:lineChart>
        <c:grouping val="standard"/>
        <c:varyColors val="0"/>
        <c:ser>
          <c:idx val="1"/>
          <c:order val="0"/>
          <c:tx>
            <c:strRef>
              <c:f>Sheet1!$B$1</c:f>
              <c:strCache>
                <c:ptCount val="1"/>
                <c:pt idx="0">
                  <c:v>Վարձու աշխատողների թվաքանակի աճ, %</c:v>
                </c:pt>
              </c:strCache>
            </c:strRef>
          </c:tx>
          <c:spPr>
            <a:ln w="28575" cap="rnd">
              <a:noFill/>
              <a:round/>
            </a:ln>
            <a:effectLst/>
          </c:spPr>
          <c:marker>
            <c:symbol val="circle"/>
            <c:size val="8"/>
            <c:spPr>
              <a:solidFill>
                <a:schemeClr val="accent6">
                  <a:lumMod val="75000"/>
                </a:schemeClr>
              </a:solidFill>
              <a:ln w="9525">
                <a:noFill/>
              </a:ln>
              <a:effectLst/>
            </c:spPr>
          </c:marker>
          <c:dPt>
            <c:idx val="9"/>
            <c:marker>
              <c:symbol val="circle"/>
              <c:size val="8"/>
              <c:spPr>
                <a:solidFill>
                  <a:schemeClr val="accent6">
                    <a:lumMod val="75000"/>
                  </a:schemeClr>
                </a:solidFill>
                <a:ln w="9525">
                  <a:noFill/>
                </a:ln>
                <a:effectLst/>
              </c:spPr>
            </c:marker>
            <c:bubble3D val="0"/>
            <c:spPr>
              <a:ln w="28575" cap="rnd">
                <a:noFill/>
                <a:round/>
              </a:ln>
              <a:effectLst/>
            </c:spPr>
            <c:extLst>
              <c:ext xmlns:c16="http://schemas.microsoft.com/office/drawing/2014/chart" uri="{C3380CC4-5D6E-409C-BE32-E72D297353CC}">
                <c16:uniqueId val="{00000011-E560-4E5F-9C8B-8FEC1F5E601B}"/>
              </c:ext>
            </c:extLst>
          </c:dPt>
          <c:dLbls>
            <c:dLbl>
              <c:idx val="0"/>
              <c:layout>
                <c:manualLayout>
                  <c:x val="-3.2425857132278517E-2"/>
                  <c:y val="3.41195887631950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560-4E5F-9C8B-8FEC1F5E601B}"/>
                </c:ext>
              </c:extLst>
            </c:dLbl>
            <c:dLbl>
              <c:idx val="1"/>
              <c:layout>
                <c:manualLayout>
                  <c:x val="-3.3307210031347963E-2"/>
                  <c:y val="-6.55021834061135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560-4E5F-9C8B-8FEC1F5E601B}"/>
                </c:ext>
              </c:extLst>
            </c:dLbl>
            <c:dLbl>
              <c:idx val="2"/>
              <c:layout>
                <c:manualLayout>
                  <c:x val="-3.3307210031347963E-2"/>
                  <c:y val="3.93013100436680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560-4E5F-9C8B-8FEC1F5E601B}"/>
                </c:ext>
              </c:extLst>
            </c:dLbl>
            <c:dLbl>
              <c:idx val="3"/>
              <c:layout>
                <c:manualLayout>
                  <c:x val="-3.3307210031347963E-2"/>
                  <c:y val="-3.4934497816593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560-4E5F-9C8B-8FEC1F5E601B}"/>
                </c:ext>
              </c:extLst>
            </c:dLbl>
            <c:dLbl>
              <c:idx val="4"/>
              <c:layout>
                <c:manualLayout>
                  <c:x val="-2.7429467084639499E-2"/>
                  <c:y val="3.93013100436681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560-4E5F-9C8B-8FEC1F5E601B}"/>
                </c:ext>
              </c:extLst>
            </c:dLbl>
            <c:dLbl>
              <c:idx val="5"/>
              <c:layout>
                <c:manualLayout>
                  <c:x val="-1.3714733542319784E-2"/>
                  <c:y val="-2.62008733624454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560-4E5F-9C8B-8FEC1F5E601B}"/>
                </c:ext>
              </c:extLst>
            </c:dLbl>
            <c:dLbl>
              <c:idx val="6"/>
              <c:layout>
                <c:manualLayout>
                  <c:x val="-3.3375398020388518E-2"/>
                  <c:y val="3.6172283850075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560-4E5F-9C8B-8FEC1F5E601B}"/>
                </c:ext>
              </c:extLst>
            </c:dLbl>
            <c:dLbl>
              <c:idx val="7"/>
              <c:layout>
                <c:manualLayout>
                  <c:x val="-2.9388714733542393E-2"/>
                  <c:y val="5.87515299877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560-4E5F-9C8B-8FEC1F5E601B}"/>
                </c:ext>
              </c:extLst>
            </c:dLbl>
            <c:dLbl>
              <c:idx val="8"/>
              <c:layout>
                <c:manualLayout>
                  <c:x val="-2.938871473354232E-2"/>
                  <c:y val="-5.385556915544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560-4E5F-9C8B-8FEC1F5E601B}"/>
                </c:ext>
              </c:extLst>
            </c:dLbl>
            <c:dLbl>
              <c:idx val="9"/>
              <c:layout>
                <c:manualLayout>
                  <c:x val="-2.938871473354232E-2"/>
                  <c:y val="2.9375764993880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560-4E5F-9C8B-8FEC1F5E601B}"/>
                </c:ext>
              </c:extLst>
            </c:dLbl>
            <c:dLbl>
              <c:idx val="10"/>
              <c:layout>
                <c:manualLayout>
                  <c:x val="-7.8369905956112845E-3"/>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560-4E5F-9C8B-8FEC1F5E601B}"/>
                </c:ext>
              </c:extLst>
            </c:dLbl>
            <c:dLbl>
              <c:idx val="11"/>
              <c:layout>
                <c:manualLayout>
                  <c:x val="-2.9388714733542248E-2"/>
                  <c:y val="-4.4063647490820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560-4E5F-9C8B-8FEC1F5E601B}"/>
                </c:ext>
              </c:extLst>
            </c:dLbl>
            <c:dLbl>
              <c:idx val="12"/>
              <c:layout>
                <c:manualLayout>
                  <c:x val="-3.1347962382445284E-2"/>
                  <c:y val="-4.89596083231334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560-4E5F-9C8B-8FEC1F5E601B}"/>
                </c:ext>
              </c:extLst>
            </c:dLbl>
            <c:dLbl>
              <c:idx val="13"/>
              <c:layout>
                <c:manualLayout>
                  <c:x val="-2.3510971786833857E-2"/>
                  <c:y val="4.4063647490820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560-4E5F-9C8B-8FEC1F5E601B}"/>
                </c:ext>
              </c:extLst>
            </c:dLbl>
            <c:dLbl>
              <c:idx val="14"/>
              <c:layout>
                <c:manualLayout>
                  <c:x val="-3.3307210031347963E-2"/>
                  <c:y val="-4.40636474908201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560-4E5F-9C8B-8FEC1F5E601B}"/>
                </c:ext>
              </c:extLst>
            </c:dLbl>
            <c:dLbl>
              <c:idx val="15"/>
              <c:layout>
                <c:manualLayout>
                  <c:x val="-2.9388714733542463E-2"/>
                  <c:y val="4.4063647490820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560-4E5F-9C8B-8FEC1F5E601B}"/>
                </c:ext>
              </c:extLst>
            </c:dLbl>
            <c:dLbl>
              <c:idx val="16"/>
              <c:layout>
                <c:manualLayout>
                  <c:x val="-1.820623271382266E-2"/>
                  <c:y val="3.9806377124900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560-4E5F-9C8B-8FEC1F5E601B}"/>
                </c:ext>
              </c:extLst>
            </c:dLbl>
            <c:dLbl>
              <c:idx val="17"/>
              <c:layout>
                <c:manualLayout>
                  <c:x val="-3.1347962382445138E-2"/>
                  <c:y val="-6.36474908200734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560-4E5F-9C8B-8FEC1F5E601B}"/>
                </c:ext>
              </c:extLst>
            </c:dLbl>
            <c:dLbl>
              <c:idx val="18"/>
              <c:layout>
                <c:manualLayout>
                  <c:x val="-9.7962382445141074E-3"/>
                  <c:y val="-1.46878824969400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E560-4E5F-9C8B-8FEC1F5E601B}"/>
                </c:ext>
              </c:extLst>
            </c:dLbl>
            <c:dLbl>
              <c:idx val="19"/>
              <c:layout>
                <c:manualLayout>
                  <c:x val="-2.1551724137931036E-2"/>
                  <c:y val="-4.89596083231334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E560-4E5F-9C8B-8FEC1F5E60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6">
                        <a:lumMod val="50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Sheet1!$A$2:$A$23</c:f>
              <c:strCache>
                <c:ptCount val="20"/>
                <c:pt idx="0">
                  <c:v>Ընդամենը</c:v>
                </c:pt>
                <c:pt idx="1">
                  <c:v>Գյուղատնտեսություն</c:v>
                </c:pt>
                <c:pt idx="2">
                  <c:v>Հանքագործություն</c:v>
                </c:pt>
                <c:pt idx="3">
                  <c:v>Մշակող արդյունաբերություն</c:v>
                </c:pt>
                <c:pt idx="4">
                  <c:v>Էլեկտրականություն</c:v>
                </c:pt>
                <c:pt idx="5">
                  <c:v>Ջրամատակարարում</c:v>
                </c:pt>
                <c:pt idx="6">
                  <c:v>Շինարարություն</c:v>
                </c:pt>
                <c:pt idx="7">
                  <c:v>Առևտուր</c:v>
                </c:pt>
                <c:pt idx="8">
                  <c:v>Փոխադրումներ</c:v>
                </c:pt>
                <c:pt idx="9">
                  <c:v>Կացություն</c:v>
                </c:pt>
                <c:pt idx="10">
                  <c:v>Տեղեկատվություն և կապ</c:v>
                </c:pt>
                <c:pt idx="11">
                  <c:v>Տեղեկատվական տեխնոլոգիաներ</c:v>
                </c:pt>
                <c:pt idx="12">
                  <c:v>Ֆինանսական և ապահովագրական</c:v>
                </c:pt>
                <c:pt idx="13">
                  <c:v>Անշարժ գույք</c:v>
                </c:pt>
                <c:pt idx="14">
                  <c:v>Մասնագիտական</c:v>
                </c:pt>
                <c:pt idx="15">
                  <c:v>Վարչարարական</c:v>
                </c:pt>
                <c:pt idx="16">
                  <c:v>Պետական կառավարում </c:v>
                </c:pt>
                <c:pt idx="17">
                  <c:v>Կրթություն</c:v>
                </c:pt>
                <c:pt idx="18">
                  <c:v>Առողջապահություն</c:v>
                </c:pt>
                <c:pt idx="19">
                  <c:v>Մշակույթ, զվարճություններ</c:v>
                </c:pt>
              </c:strCache>
            </c:strRef>
          </c:cat>
          <c:val>
            <c:numRef>
              <c:f>Sheet1!$B$2:$B$22</c:f>
              <c:numCache>
                <c:formatCode>0.0</c:formatCode>
                <c:ptCount val="20"/>
                <c:pt idx="0">
                  <c:v>4.5568039129320113</c:v>
                </c:pt>
                <c:pt idx="1">
                  <c:v>9.3901593901593969</c:v>
                </c:pt>
                <c:pt idx="2">
                  <c:v>5.7670126874279219</c:v>
                </c:pt>
                <c:pt idx="3">
                  <c:v>3.3533281949889897</c:v>
                </c:pt>
                <c:pt idx="4">
                  <c:v>0.51599587203301667</c:v>
                </c:pt>
                <c:pt idx="5">
                  <c:v>3.3054272517321124</c:v>
                </c:pt>
                <c:pt idx="6">
                  <c:v>11.754895631590273</c:v>
                </c:pt>
                <c:pt idx="7">
                  <c:v>5.4964880764219401</c:v>
                </c:pt>
                <c:pt idx="8">
                  <c:v>1.1912169970664195</c:v>
                </c:pt>
                <c:pt idx="9">
                  <c:v>4.0307293225581304</c:v>
                </c:pt>
                <c:pt idx="10">
                  <c:v>1.3308366214137521</c:v>
                </c:pt>
                <c:pt idx="11">
                  <c:v>1.8347194966202665</c:v>
                </c:pt>
                <c:pt idx="12">
                  <c:v>7.3009594344386528</c:v>
                </c:pt>
                <c:pt idx="13">
                  <c:v>4.2248562375308154</c:v>
                </c:pt>
                <c:pt idx="14">
                  <c:v>4.8660290574578369</c:v>
                </c:pt>
                <c:pt idx="15">
                  <c:v>8.5926717421308041</c:v>
                </c:pt>
                <c:pt idx="16">
                  <c:v>15.063581872164036</c:v>
                </c:pt>
                <c:pt idx="17">
                  <c:v>1.4623408783756418</c:v>
                </c:pt>
                <c:pt idx="18">
                  <c:v>4.6570314292268904</c:v>
                </c:pt>
                <c:pt idx="19">
                  <c:v>2.5561097256857863</c:v>
                </c:pt>
              </c:numCache>
            </c:numRef>
          </c:val>
          <c:smooth val="0"/>
          <c:extLst>
            <c:ext xmlns:c16="http://schemas.microsoft.com/office/drawing/2014/chart" uri="{C3380CC4-5D6E-409C-BE32-E72D297353CC}">
              <c16:uniqueId val="{00000025-E560-4E5F-9C8B-8FEC1F5E601B}"/>
            </c:ext>
          </c:extLst>
        </c:ser>
        <c:dLbls>
          <c:showLegendKey val="0"/>
          <c:showVal val="0"/>
          <c:showCatName val="0"/>
          <c:showSerName val="0"/>
          <c:showPercent val="0"/>
          <c:showBubbleSize val="0"/>
        </c:dLbls>
        <c:marker val="1"/>
        <c:smooth val="0"/>
        <c:axId val="294885888"/>
        <c:axId val="294595968"/>
      </c:lineChart>
      <c:catAx>
        <c:axId val="2948858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GHEA Grapalat" panose="02000506050000020003" pitchFamily="50" charset="0"/>
                <a:ea typeface="+mn-ea"/>
                <a:cs typeface="+mn-cs"/>
              </a:defRPr>
            </a:pPr>
            <a:endParaRPr lang="en-US"/>
          </a:p>
        </c:txPr>
        <c:crossAx val="294595968"/>
        <c:crosses val="autoZero"/>
        <c:auto val="1"/>
        <c:lblAlgn val="ctr"/>
        <c:lblOffset val="100"/>
        <c:noMultiLvlLbl val="0"/>
      </c:catAx>
      <c:valAx>
        <c:axId val="294595968"/>
        <c:scaling>
          <c:orientation val="minMax"/>
          <c:min val="-7"/>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4885888"/>
        <c:crosses val="autoZero"/>
        <c:crossBetween val="between"/>
      </c:valAx>
      <c:spPr>
        <a:noFill/>
        <a:ln>
          <a:noFill/>
        </a:ln>
        <a:effectLst/>
      </c:spPr>
    </c:plotArea>
    <c:legend>
      <c:legendPos val="r"/>
      <c:layout>
        <c:manualLayout>
          <c:xMode val="edge"/>
          <c:yMode val="edge"/>
          <c:x val="5.1635894651099648E-2"/>
          <c:y val="2.2294355188465582E-2"/>
          <c:w val="0.30674993389936916"/>
          <c:h val="0.11939453734422859"/>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sz="800">
          <a:solidFill>
            <a:schemeClr val="tx1"/>
          </a:solidFill>
          <a:latin typeface="GHEA Grapalat" panose="02000506050000020003" pitchFamily="50" charset="0"/>
        </a:defRPr>
      </a:pPr>
      <a:endParaRPr lang="en-US"/>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6541132136917157E-2"/>
          <c:y val="4.9886916677788155E-2"/>
          <c:w val="0.93150280882541081"/>
          <c:h val="0.5494777114554229"/>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dLbls>
            <c:dLbl>
              <c:idx val="59"/>
              <c:layout>
                <c:manualLayout>
                  <c:x val="-1.4442636374238338E-16"/>
                  <c:y val="6.0483870967741937E-2"/>
                </c:manualLayout>
              </c:layout>
              <c:spPr>
                <a:noFill/>
                <a:ln>
                  <a:noFill/>
                </a:ln>
                <a:effectLst/>
              </c:spPr>
              <c:txPr>
                <a:bodyPr wrap="square" lIns="38100" tIns="19050" rIns="38100" bIns="19050" anchor="ctr">
                  <a:spAutoFit/>
                </a:bodyPr>
                <a:lstStyle/>
                <a:p>
                  <a:pPr>
                    <a:defRPr baseline="0">
                      <a:solidFill>
                        <a:schemeClr val="accent6"/>
                      </a:solidFill>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B3-458B-A3E6-5C051A24669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multiLvlStrRef>
              <c:f>Sheet1!$A$14:$B$97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Sheet1!$D$2:$D$97</c:f>
              <c:numCache>
                <c:formatCode>0.0</c:formatCode>
                <c:ptCount val="60"/>
                <c:pt idx="0">
                  <c:v>4.5148886220006261</c:v>
                </c:pt>
                <c:pt idx="1">
                  <c:v>5.3267515218621924</c:v>
                </c:pt>
                <c:pt idx="2">
                  <c:v>5.7810093225161552</c:v>
                </c:pt>
                <c:pt idx="3">
                  <c:v>6.1569193415054002</c:v>
                </c:pt>
                <c:pt idx="4">
                  <c:v>5.9006948589342016</c:v>
                </c:pt>
                <c:pt idx="5">
                  <c:v>6.5046445234588646</c:v>
                </c:pt>
                <c:pt idx="6">
                  <c:v>8.2227275731544154</c:v>
                </c:pt>
                <c:pt idx="7">
                  <c:v>8.7823860822581139</c:v>
                </c:pt>
                <c:pt idx="8">
                  <c:v>8.8886539553763413</c:v>
                </c:pt>
                <c:pt idx="9">
                  <c:v>9.1040943851299545</c:v>
                </c:pt>
                <c:pt idx="10">
                  <c:v>9.5566762184085832</c:v>
                </c:pt>
                <c:pt idx="11">
                  <c:v>7.6754534627573037</c:v>
                </c:pt>
                <c:pt idx="12">
                  <c:v>7.0769205766379315</c:v>
                </c:pt>
                <c:pt idx="13">
                  <c:v>6.5432090002156116</c:v>
                </c:pt>
                <c:pt idx="14">
                  <c:v>7.3617969746003382</c:v>
                </c:pt>
                <c:pt idx="15">
                  <c:v>8.4252580519207356</c:v>
                </c:pt>
                <c:pt idx="16">
                  <c:v>8.9862917816955417</c:v>
                </c:pt>
                <c:pt idx="17">
                  <c:v>10.274467693331786</c:v>
                </c:pt>
                <c:pt idx="18">
                  <c:v>9.3216627279495867</c:v>
                </c:pt>
                <c:pt idx="19">
                  <c:v>9.1287829914562479</c:v>
                </c:pt>
                <c:pt idx="20">
                  <c:v>9.9151144159470022</c:v>
                </c:pt>
                <c:pt idx="21">
                  <c:v>9.5</c:v>
                </c:pt>
                <c:pt idx="22">
                  <c:v>8.8446621147540014</c:v>
                </c:pt>
                <c:pt idx="23">
                  <c:v>8.3026886372339987</c:v>
                </c:pt>
                <c:pt idx="24">
                  <c:v>8.0513101873760036</c:v>
                </c:pt>
                <c:pt idx="25">
                  <c:v>8.0504413480060038</c:v>
                </c:pt>
                <c:pt idx="26">
                  <c:v>5.4496798492630063</c:v>
                </c:pt>
                <c:pt idx="27">
                  <c:v>3.2368670906421926</c:v>
                </c:pt>
                <c:pt idx="28">
                  <c:v>1.3</c:v>
                </c:pt>
                <c:pt idx="29">
                  <c:v>-0.5</c:v>
                </c:pt>
                <c:pt idx="30">
                  <c:v>-0.10059999999999999</c:v>
                </c:pt>
                <c:pt idx="31">
                  <c:v>-0.16830000000000001</c:v>
                </c:pt>
                <c:pt idx="32">
                  <c:v>0.1</c:v>
                </c:pt>
                <c:pt idx="33">
                  <c:v>0.1</c:v>
                </c:pt>
                <c:pt idx="34">
                  <c:v>-0.5</c:v>
                </c:pt>
                <c:pt idx="35">
                  <c:v>-0.6</c:v>
                </c:pt>
                <c:pt idx="36">
                  <c:v>-0.9</c:v>
                </c:pt>
                <c:pt idx="37">
                  <c:v>-1.7</c:v>
                </c:pt>
                <c:pt idx="38">
                  <c:v>-1.2</c:v>
                </c:pt>
                <c:pt idx="39">
                  <c:v>-0.7</c:v>
                </c:pt>
                <c:pt idx="40">
                  <c:v>0.3</c:v>
                </c:pt>
                <c:pt idx="41">
                  <c:v>0.8</c:v>
                </c:pt>
                <c:pt idx="42">
                  <c:v>1.4</c:v>
                </c:pt>
                <c:pt idx="43">
                  <c:v>1.3</c:v>
                </c:pt>
                <c:pt idx="44">
                  <c:v>0.6</c:v>
                </c:pt>
                <c:pt idx="45">
                  <c:v>0.6</c:v>
                </c:pt>
                <c:pt idx="46">
                  <c:v>1.4</c:v>
                </c:pt>
                <c:pt idx="47">
                  <c:v>1.5</c:v>
                </c:pt>
                <c:pt idx="48">
                  <c:v>1.7</c:v>
                </c:pt>
                <c:pt idx="49">
                  <c:v>2.5</c:v>
                </c:pt>
                <c:pt idx="50">
                  <c:v>3.3</c:v>
                </c:pt>
                <c:pt idx="51">
                  <c:v>3.1818</c:v>
                </c:pt>
                <c:pt idx="52">
                  <c:v>4.3</c:v>
                </c:pt>
                <c:pt idx="53">
                  <c:v>3.9</c:v>
                </c:pt>
                <c:pt idx="54">
                  <c:v>3.4</c:v>
                </c:pt>
                <c:pt idx="55">
                  <c:v>3.6</c:v>
                </c:pt>
                <c:pt idx="56">
                  <c:v>3.7</c:v>
                </c:pt>
                <c:pt idx="57">
                  <c:v>3.7</c:v>
                </c:pt>
                <c:pt idx="58">
                  <c:v>3.1</c:v>
                </c:pt>
                <c:pt idx="59">
                  <c:v>3.2797999999999998</c:v>
                </c:pt>
              </c:numCache>
            </c:numRef>
          </c:val>
          <c:smooth val="0"/>
          <c:extLst>
            <c:ext xmlns:c16="http://schemas.microsoft.com/office/drawing/2014/chart" uri="{C3380CC4-5D6E-409C-BE32-E72D297353CC}">
              <c16:uniqueId val="{00000001-48B3-458B-A3E6-5C051A246690}"/>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dLbls>
            <c:dLbl>
              <c:idx val="59"/>
              <c:layout>
                <c:manualLayout>
                  <c:x val="-9.8473658296405718E-3"/>
                  <c:y val="-5.0403225806451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B3-458B-A3E6-5C051A246690}"/>
                </c:ext>
              </c:extLst>
            </c:dLbl>
            <c:spPr>
              <a:noFill/>
              <a:ln>
                <a:noFill/>
              </a:ln>
              <a:effectLst/>
            </c:spPr>
            <c:txPr>
              <a:bodyPr wrap="square" lIns="38100" tIns="19050" rIns="38100" bIns="19050" anchor="ctr">
                <a:spAutoFit/>
              </a:bodyPr>
              <a:lstStyle/>
              <a:p>
                <a:pPr>
                  <a:defRPr baseline="0">
                    <a:solidFill>
                      <a:schemeClr val="accent1">
                        <a:lumMod val="50000"/>
                      </a:schemeClr>
                    </a:solidFill>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Sheet1!$A$14:$B$97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Sheet1!$E$2:$E$97</c:f>
              <c:numCache>
                <c:formatCode>0.00</c:formatCode>
                <c:ptCount val="60"/>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pt idx="18">
                  <c:v>9.25</c:v>
                </c:pt>
                <c:pt idx="19">
                  <c:v>9.5</c:v>
                </c:pt>
                <c:pt idx="20">
                  <c:v>10</c:v>
                </c:pt>
                <c:pt idx="21">
                  <c:v>10</c:v>
                </c:pt>
                <c:pt idx="22">
                  <c:v>10.5</c:v>
                </c:pt>
                <c:pt idx="23">
                  <c:v>10.75</c:v>
                </c:pt>
                <c:pt idx="24">
                  <c:v>10.75</c:v>
                </c:pt>
                <c:pt idx="25">
                  <c:v>10.75</c:v>
                </c:pt>
                <c:pt idx="26">
                  <c:v>10.75</c:v>
                </c:pt>
                <c:pt idx="27">
                  <c:v>10.75</c:v>
                </c:pt>
                <c:pt idx="28">
                  <c:v>10.75</c:v>
                </c:pt>
                <c:pt idx="29">
                  <c:v>10.5</c:v>
                </c:pt>
                <c:pt idx="30">
                  <c:v>10.5</c:v>
                </c:pt>
                <c:pt idx="31">
                  <c:v>10.25</c:v>
                </c:pt>
                <c:pt idx="32">
                  <c:v>9.75</c:v>
                </c:pt>
                <c:pt idx="33">
                  <c:v>9.75</c:v>
                </c:pt>
                <c:pt idx="34">
                  <c:v>9.5</c:v>
                </c:pt>
                <c:pt idx="35">
                  <c:v>9.25</c:v>
                </c:pt>
                <c:pt idx="36">
                  <c:v>8.75</c:v>
                </c:pt>
                <c:pt idx="37">
                  <c:v>8.75</c:v>
                </c:pt>
                <c:pt idx="38">
                  <c:v>8.5</c:v>
                </c:pt>
                <c:pt idx="39">
                  <c:v>8.25</c:v>
                </c:pt>
                <c:pt idx="40">
                  <c:v>8.25</c:v>
                </c:pt>
                <c:pt idx="41">
                  <c:v>8</c:v>
                </c:pt>
                <c:pt idx="42">
                  <c:v>7.75</c:v>
                </c:pt>
                <c:pt idx="43">
                  <c:v>7.75</c:v>
                </c:pt>
                <c:pt idx="44">
                  <c:v>7.5</c:v>
                </c:pt>
                <c:pt idx="45">
                  <c:v>7.25</c:v>
                </c:pt>
                <c:pt idx="46">
                  <c:v>7.25</c:v>
                </c:pt>
                <c:pt idx="47">
                  <c:v>7</c:v>
                </c:pt>
                <c:pt idx="48">
                  <c:v>7</c:v>
                </c:pt>
                <c:pt idx="49">
                  <c:v>6.75</c:v>
                </c:pt>
                <c:pt idx="50">
                  <c:v>6.75</c:v>
                </c:pt>
                <c:pt idx="51">
                  <c:v>6.75</c:v>
                </c:pt>
                <c:pt idx="52">
                  <c:v>6.75</c:v>
                </c:pt>
                <c:pt idx="53">
                  <c:v>6.75</c:v>
                </c:pt>
                <c:pt idx="54">
                  <c:v>6.75</c:v>
                </c:pt>
                <c:pt idx="55">
                  <c:v>6.75</c:v>
                </c:pt>
                <c:pt idx="56">
                  <c:v>6.75</c:v>
                </c:pt>
                <c:pt idx="57">
                  <c:v>6.75</c:v>
                </c:pt>
                <c:pt idx="58">
                  <c:v>6.75</c:v>
                </c:pt>
                <c:pt idx="59" formatCode="0.0">
                  <c:v>6.5</c:v>
                </c:pt>
              </c:numCache>
            </c:numRef>
          </c:val>
          <c:smooth val="0"/>
          <c:extLst>
            <c:ext xmlns:c16="http://schemas.microsoft.com/office/drawing/2014/chart" uri="{C3380CC4-5D6E-409C-BE32-E72D297353CC}">
              <c16:uniqueId val="{00000003-48B3-458B-A3E6-5C051A246690}"/>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dLbls>
            <c:dLbl>
              <c:idx val="59"/>
              <c:layout>
                <c:manualLayout>
                  <c:x val="-1.4442636374238338E-16"/>
                  <c:y val="-2.5201612903225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8B3-458B-A3E6-5C051A246690}"/>
                </c:ext>
              </c:extLst>
            </c:dLbl>
            <c:spPr>
              <a:noFill/>
              <a:ln>
                <a:noFill/>
              </a:ln>
              <a:effectLst/>
            </c:spPr>
            <c:txPr>
              <a:bodyPr wrap="square" lIns="38100" tIns="19050" rIns="38100" bIns="19050" anchor="ctr">
                <a:spAutoFit/>
              </a:bodyPr>
              <a:lstStyle/>
              <a:p>
                <a:pPr>
                  <a:defRPr baseline="0">
                    <a:solidFill>
                      <a:schemeClr val="tx1">
                        <a:lumMod val="65000"/>
                        <a:lumOff val="35000"/>
                      </a:schemeClr>
                    </a:solidFill>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Sheet1!$A$14:$B$97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Sheet1!$C$14:$C$97</c:f>
              <c:numCache>
                <c:formatCode>0.0</c:formatCode>
                <c:ptCount val="60"/>
                <c:pt idx="0">
                  <c:v>4.6779235852640682</c:v>
                </c:pt>
                <c:pt idx="1">
                  <c:v>5.4846481634119186</c:v>
                </c:pt>
                <c:pt idx="2">
                  <c:v>6.6300845552899972</c:v>
                </c:pt>
                <c:pt idx="3">
                  <c:v>6.7626395686116751</c:v>
                </c:pt>
                <c:pt idx="4">
                  <c:v>7.4114337608134804</c:v>
                </c:pt>
                <c:pt idx="5">
                  <c:v>7.8323845176300608</c:v>
                </c:pt>
                <c:pt idx="6">
                  <c:v>8.1093537485616309</c:v>
                </c:pt>
                <c:pt idx="7">
                  <c:v>8.0379242186285609</c:v>
                </c:pt>
                <c:pt idx="8">
                  <c:v>7.9880734583744442</c:v>
                </c:pt>
                <c:pt idx="9">
                  <c:v>7.8765202676341914</c:v>
                </c:pt>
                <c:pt idx="10">
                  <c:v>8.3772656385054063</c:v>
                </c:pt>
                <c:pt idx="11">
                  <c:v>7.2509011281681808</c:v>
                </c:pt>
                <c:pt idx="12">
                  <c:v>6.60162670741569</c:v>
                </c:pt>
                <c:pt idx="13">
                  <c:v>6.3614506423955959</c:v>
                </c:pt>
                <c:pt idx="14">
                  <c:v>6.9671454857929405</c:v>
                </c:pt>
                <c:pt idx="15">
                  <c:v>7.9799047833968757</c:v>
                </c:pt>
                <c:pt idx="16">
                  <c:v>8.3564098161367042</c:v>
                </c:pt>
                <c:pt idx="17">
                  <c:v>9.4404331247470736</c:v>
                </c:pt>
                <c:pt idx="18">
                  <c:v>10.10041008820204</c:v>
                </c:pt>
                <c:pt idx="19">
                  <c:v>10.230227924035546</c:v>
                </c:pt>
                <c:pt idx="20">
                  <c:v>10.540276376631112</c:v>
                </c:pt>
                <c:pt idx="21">
                  <c:v>10.488322377082326</c:v>
                </c:pt>
                <c:pt idx="22">
                  <c:v>9.8756503499295007</c:v>
                </c:pt>
                <c:pt idx="23">
                  <c:v>9.4793414473783173</c:v>
                </c:pt>
                <c:pt idx="24">
                  <c:v>9.0991561824239966</c:v>
                </c:pt>
                <c:pt idx="25">
                  <c:v>8.3569861398929959</c:v>
                </c:pt>
                <c:pt idx="26">
                  <c:v>6.4066571555730008</c:v>
                </c:pt>
                <c:pt idx="27">
                  <c:v>4.3045803295163267</c:v>
                </c:pt>
                <c:pt idx="28">
                  <c:v>3.0865032447455718</c:v>
                </c:pt>
                <c:pt idx="29">
                  <c:v>1.4518285160379776</c:v>
                </c:pt>
                <c:pt idx="30">
                  <c:v>0.59949055114458361</c:v>
                </c:pt>
                <c:pt idx="31">
                  <c:v>0.35313145780541788</c:v>
                </c:pt>
                <c:pt idx="32">
                  <c:v>-8.0847536483943827E-2</c:v>
                </c:pt>
                <c:pt idx="33">
                  <c:v>-4.6504096578033227E-2</c:v>
                </c:pt>
                <c:pt idx="34">
                  <c:v>-0.24390438070011555</c:v>
                </c:pt>
                <c:pt idx="35">
                  <c:v>-0.39353895237825043</c:v>
                </c:pt>
                <c:pt idx="36">
                  <c:v>-0.44083532430917671</c:v>
                </c:pt>
                <c:pt idx="37">
                  <c:v>-0.65415810312974543</c:v>
                </c:pt>
                <c:pt idx="38">
                  <c:v>-0.70986287761924416</c:v>
                </c:pt>
                <c:pt idx="39">
                  <c:v>-0.53692140460677251</c:v>
                </c:pt>
                <c:pt idx="40">
                  <c:v>-0.29513107679599671</c:v>
                </c:pt>
                <c:pt idx="41">
                  <c:v>3.9019835541694192E-2</c:v>
                </c:pt>
                <c:pt idx="42">
                  <c:v>0.25996830691931905</c:v>
                </c:pt>
                <c:pt idx="43">
                  <c:v>0.27869516588769727</c:v>
                </c:pt>
                <c:pt idx="44">
                  <c:v>0.70080604258279777</c:v>
                </c:pt>
                <c:pt idx="45">
                  <c:v>0.63894478316535697</c:v>
                </c:pt>
                <c:pt idx="46">
                  <c:v>0.7907904170000819</c:v>
                </c:pt>
                <c:pt idx="47">
                  <c:v>0.94130385266983296</c:v>
                </c:pt>
                <c:pt idx="48">
                  <c:v>1.2271638969850756</c:v>
                </c:pt>
                <c:pt idx="49">
                  <c:v>1.4745661267638042</c:v>
                </c:pt>
                <c:pt idx="50">
                  <c:v>2.0047945598907262</c:v>
                </c:pt>
                <c:pt idx="51">
                  <c:v>2.394979193090478</c:v>
                </c:pt>
                <c:pt idx="52">
                  <c:v>2.7632776482889483</c:v>
                </c:pt>
                <c:pt idx="53">
                  <c:v>3.1364195504502987</c:v>
                </c:pt>
                <c:pt idx="54">
                  <c:v>3.4298937990613325</c:v>
                </c:pt>
                <c:pt idx="55">
                  <c:v>3.7028292026547831</c:v>
                </c:pt>
                <c:pt idx="56">
                  <c:v>3.4658647434183933</c:v>
                </c:pt>
                <c:pt idx="57">
                  <c:v>3.6332697262011919</c:v>
                </c:pt>
                <c:pt idx="58">
                  <c:v>3.7987997435390071</c:v>
                </c:pt>
                <c:pt idx="59">
                  <c:v>4.28055817333221</c:v>
                </c:pt>
              </c:numCache>
            </c:numRef>
          </c:val>
          <c:smooth val="0"/>
          <c:extLst>
            <c:ext xmlns:c16="http://schemas.microsoft.com/office/drawing/2014/chart" uri="{C3380CC4-5D6E-409C-BE32-E72D297353CC}">
              <c16:uniqueId val="{00000005-48B3-458B-A3E6-5C051A246690}"/>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layout>
        <c:manualLayout>
          <c:xMode val="edge"/>
          <c:yMode val="edge"/>
          <c:x val="2.7404712316947723E-2"/>
          <c:y val="0.7829057658115316"/>
          <c:w val="0.97216976237418284"/>
          <c:h val="0.18685229870459741"/>
        </c:manualLayout>
      </c:layout>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cap="none" spc="0" normalizeH="0" baseline="0">
                <a:solidFill>
                  <a:schemeClr val="tx1">
                    <a:lumMod val="65000"/>
                    <a:lumOff val="35000"/>
                  </a:schemeClr>
                </a:solidFill>
                <a:latin typeface="GHEA Grapalat" panose="02000506050000020003" pitchFamily="50" charset="0"/>
                <a:ea typeface="+mj-ea"/>
                <a:cs typeface="+mj-cs"/>
              </a:defRPr>
            </a:pPr>
            <a:r>
              <a:rPr lang="en-US" sz="1000" b="0" baseline="0">
                <a:solidFill>
                  <a:schemeClr val="tx1">
                    <a:lumMod val="65000"/>
                    <a:lumOff val="35000"/>
                  </a:schemeClr>
                </a:solidFill>
              </a:rPr>
              <a:t>12</a:t>
            </a:r>
            <a:r>
              <a:rPr lang="hy-AM" sz="1000" b="0" baseline="0">
                <a:solidFill>
                  <a:schemeClr val="tx1">
                    <a:lumMod val="65000"/>
                    <a:lumOff val="35000"/>
                  </a:schemeClr>
                </a:solidFill>
              </a:rPr>
              <a:t> ամսյա գնաճ</a:t>
            </a:r>
            <a:r>
              <a:rPr lang="en-US" sz="1000" b="0" baseline="0">
                <a:solidFill>
                  <a:schemeClr val="tx1">
                    <a:lumMod val="65000"/>
                    <a:lumOff val="35000"/>
                  </a:schemeClr>
                </a:solidFill>
              </a:rPr>
              <a:t>, %</a:t>
            </a:r>
          </a:p>
        </c:rich>
      </c:tx>
      <c:layout>
        <c:manualLayout>
          <c:xMode val="edge"/>
          <c:yMode val="edge"/>
          <c:x val="0.31469953084252594"/>
          <c:y val="5.5554673609347219E-3"/>
        </c:manualLayout>
      </c:layout>
      <c:overlay val="0"/>
      <c:spPr>
        <a:noFill/>
        <a:ln>
          <a:noFill/>
        </a:ln>
        <a:effectLst/>
      </c:spPr>
    </c:title>
    <c:autoTitleDeleted val="0"/>
    <c:plotArea>
      <c:layout>
        <c:manualLayout>
          <c:layoutTarget val="inner"/>
          <c:xMode val="edge"/>
          <c:yMode val="edge"/>
          <c:x val="0.11270836908098351"/>
          <c:y val="0.1312423813132145"/>
          <c:w val="0.84290099330803991"/>
          <c:h val="0.66208741189830411"/>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Sheet1!$D$28:$D$75</c:f>
              <c:numCache>
                <c:formatCode>0.0</c:formatCode>
                <c:ptCount val="20"/>
                <c:pt idx="0">
                  <c:v>2.7530960000000007</c:v>
                </c:pt>
                <c:pt idx="1">
                  <c:v>3.2739520000000004</c:v>
                </c:pt>
                <c:pt idx="2">
                  <c:v>5.7294159999999996</c:v>
                </c:pt>
                <c:pt idx="3">
                  <c:v>4.7993160000000001</c:v>
                </c:pt>
                <c:pt idx="4">
                  <c:v>4.7621120000000001</c:v>
                </c:pt>
                <c:pt idx="5">
                  <c:v>6.3618840000000008</c:v>
                </c:pt>
                <c:pt idx="6">
                  <c:v>5.0969480000000003</c:v>
                </c:pt>
                <c:pt idx="7">
                  <c:v>3.7204000000000002</c:v>
                </c:pt>
                <c:pt idx="8">
                  <c:v>1.9252499999999997</c:v>
                </c:pt>
                <c:pt idx="9">
                  <c:v>-2.0762499999999999</c:v>
                </c:pt>
                <c:pt idx="10">
                  <c:v>-1.17025</c:v>
                </c:pt>
                <c:pt idx="11">
                  <c:v>-1.8119999999999998</c:v>
                </c:pt>
                <c:pt idx="12">
                  <c:v>-2.31616</c:v>
                </c:pt>
                <c:pt idx="13">
                  <c:v>-0.28952</c:v>
                </c:pt>
                <c:pt idx="14">
                  <c:v>-0.41359999999999997</c:v>
                </c:pt>
                <c:pt idx="15">
                  <c:v>0.82719999999999994</c:v>
                </c:pt>
                <c:pt idx="16">
                  <c:v>2.2089834000000002</c:v>
                </c:pt>
                <c:pt idx="17">
                  <c:v>2.5362401999999999</c:v>
                </c:pt>
                <c:pt idx="18">
                  <c:v>2.3726118</c:v>
                </c:pt>
                <c:pt idx="19">
                  <c:v>1.7590053000000001</c:v>
                </c:pt>
              </c:numCache>
            </c:numRef>
          </c:val>
          <c:extLst>
            <c:ext xmlns:c16="http://schemas.microsoft.com/office/drawing/2014/chart" uri="{C3380CC4-5D6E-409C-BE32-E72D297353CC}">
              <c16:uniqueId val="{00000000-D67D-4C15-B238-B25F1B8D6B09}"/>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Sheet1!$E$28:$E$75</c:f>
              <c:numCache>
                <c:formatCode>0.0</c:formatCode>
                <c:ptCount val="20"/>
                <c:pt idx="0">
                  <c:v>0.41001639999999995</c:v>
                </c:pt>
                <c:pt idx="1">
                  <c:v>0.39218960000000003</c:v>
                </c:pt>
                <c:pt idx="2">
                  <c:v>0.41447310000000004</c:v>
                </c:pt>
                <c:pt idx="3">
                  <c:v>0.41001639999999995</c:v>
                </c:pt>
                <c:pt idx="4">
                  <c:v>0.32533909999999999</c:v>
                </c:pt>
                <c:pt idx="5">
                  <c:v>0.36099269999999994</c:v>
                </c:pt>
                <c:pt idx="6">
                  <c:v>0.39664629999999995</c:v>
                </c:pt>
                <c:pt idx="7">
                  <c:v>0.39664629999999995</c:v>
                </c:pt>
                <c:pt idx="8">
                  <c:v>0.31872</c:v>
                </c:pt>
                <c:pt idx="9">
                  <c:v>0.33024000000000003</c:v>
                </c:pt>
                <c:pt idx="10">
                  <c:v>0.31872</c:v>
                </c:pt>
                <c:pt idx="11">
                  <c:v>0.32256000000000001</c:v>
                </c:pt>
                <c:pt idx="12">
                  <c:v>0.33596000000000004</c:v>
                </c:pt>
                <c:pt idx="13">
                  <c:v>0.21791999999999997</c:v>
                </c:pt>
                <c:pt idx="14">
                  <c:v>0.18613999999999997</c:v>
                </c:pt>
                <c:pt idx="15">
                  <c:v>0.17251999999999998</c:v>
                </c:pt>
                <c:pt idx="16">
                  <c:v>0.219606</c:v>
                </c:pt>
                <c:pt idx="17">
                  <c:v>0.26697200000000004</c:v>
                </c:pt>
                <c:pt idx="18">
                  <c:v>0.29280800000000001</c:v>
                </c:pt>
                <c:pt idx="19">
                  <c:v>0.31433800000000001</c:v>
                </c:pt>
              </c:numCache>
            </c:numRef>
          </c:val>
          <c:extLst>
            <c:ext xmlns:c16="http://schemas.microsoft.com/office/drawing/2014/chart" uri="{C3380CC4-5D6E-409C-BE32-E72D297353CC}">
              <c16:uniqueId val="{00000001-D67D-4C15-B238-B25F1B8D6B09}"/>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Sheet1!$F$28:$F$75</c:f>
              <c:numCache>
                <c:formatCode>0.0</c:formatCode>
                <c:ptCount val="20"/>
                <c:pt idx="0">
                  <c:v>1.8656400000000002</c:v>
                </c:pt>
                <c:pt idx="1">
                  <c:v>2.10995</c:v>
                </c:pt>
                <c:pt idx="2">
                  <c:v>2.1987900000000002</c:v>
                </c:pt>
                <c:pt idx="3">
                  <c:v>1.7768000000000002</c:v>
                </c:pt>
                <c:pt idx="4">
                  <c:v>1.0660800000000001</c:v>
                </c:pt>
                <c:pt idx="5">
                  <c:v>1.6657500000000001</c:v>
                </c:pt>
                <c:pt idx="6">
                  <c:v>1.79901</c:v>
                </c:pt>
                <c:pt idx="7">
                  <c:v>1.57691</c:v>
                </c:pt>
                <c:pt idx="8">
                  <c:v>1.06996</c:v>
                </c:pt>
                <c:pt idx="9">
                  <c:v>6.9780000000000009E-2</c:v>
                </c:pt>
                <c:pt idx="10">
                  <c:v>0</c:v>
                </c:pt>
                <c:pt idx="11">
                  <c:v>2.3259999999999999E-2</c:v>
                </c:pt>
                <c:pt idx="12">
                  <c:v>-2.1680000000000001E-2</c:v>
                </c:pt>
                <c:pt idx="13">
                  <c:v>-4.3360000000000003E-2</c:v>
                </c:pt>
                <c:pt idx="14">
                  <c:v>-0.36856</c:v>
                </c:pt>
                <c:pt idx="15">
                  <c:v>-0.39024000000000003</c:v>
                </c:pt>
                <c:pt idx="16">
                  <c:v>-0.10575</c:v>
                </c:pt>
                <c:pt idx="17">
                  <c:v>-4.2299999999999997E-2</c:v>
                </c:pt>
                <c:pt idx="18">
                  <c:v>0.19034999999999999</c:v>
                </c:pt>
                <c:pt idx="19">
                  <c:v>0.19034999999999999</c:v>
                </c:pt>
              </c:numCache>
            </c:numRef>
          </c:val>
          <c:extLst>
            <c:ext xmlns:c16="http://schemas.microsoft.com/office/drawing/2014/chart" uri="{C3380CC4-5D6E-409C-BE32-E72D297353CC}">
              <c16:uniqueId val="{00000002-D67D-4C15-B238-B25F1B8D6B09}"/>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Sheet1!$G$28:$G$75</c:f>
              <c:numCache>
                <c:formatCode>0.0</c:formatCode>
                <c:ptCount val="20"/>
                <c:pt idx="0">
                  <c:v>0.79486000000000023</c:v>
                </c:pt>
                <c:pt idx="1">
                  <c:v>0.75873000000000002</c:v>
                </c:pt>
                <c:pt idx="2">
                  <c:v>0.57808000000000004</c:v>
                </c:pt>
                <c:pt idx="3">
                  <c:v>0.68647000000000002</c:v>
                </c:pt>
                <c:pt idx="4">
                  <c:v>1.1922900000000001</c:v>
                </c:pt>
                <c:pt idx="5">
                  <c:v>1.91489</c:v>
                </c:pt>
                <c:pt idx="6">
                  <c:v>2.6013600000000001</c:v>
                </c:pt>
                <c:pt idx="7">
                  <c:v>2.6013600000000001</c:v>
                </c:pt>
                <c:pt idx="8">
                  <c:v>2.109</c:v>
                </c:pt>
                <c:pt idx="9">
                  <c:v>1.3708499999999999</c:v>
                </c:pt>
                <c:pt idx="10">
                  <c:v>1.1248</c:v>
                </c:pt>
                <c:pt idx="11">
                  <c:v>1.0545</c:v>
                </c:pt>
                <c:pt idx="12">
                  <c:v>0.81050000000000011</c:v>
                </c:pt>
                <c:pt idx="13">
                  <c:v>0.87534000000000001</c:v>
                </c:pt>
                <c:pt idx="14">
                  <c:v>1.1671199999999999</c:v>
                </c:pt>
                <c:pt idx="15">
                  <c:v>0.81050000000000011</c:v>
                </c:pt>
                <c:pt idx="16">
                  <c:v>0.97555999999999998</c:v>
                </c:pt>
                <c:pt idx="17">
                  <c:v>1.1774</c:v>
                </c:pt>
                <c:pt idx="18">
                  <c:v>0.94191999999999998</c:v>
                </c:pt>
                <c:pt idx="19">
                  <c:v>1.04284</c:v>
                </c:pt>
              </c:numCache>
            </c:numRef>
          </c:val>
          <c:extLst>
            <c:ext xmlns:c16="http://schemas.microsoft.com/office/drawing/2014/chart" uri="{C3380CC4-5D6E-409C-BE32-E72D297353CC}">
              <c16:uniqueId val="{00000003-D67D-4C15-B238-B25F1B8D6B09}"/>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D67D-4C15-B238-B25F1B8D6B09}"/>
              </c:ext>
            </c:extLst>
          </c:dPt>
          <c:dPt>
            <c:idx val="7"/>
            <c:bubble3D val="0"/>
            <c:extLst>
              <c:ext xmlns:c16="http://schemas.microsoft.com/office/drawing/2014/chart" uri="{C3380CC4-5D6E-409C-BE32-E72D297353CC}">
                <c16:uniqueId val="{00000005-D67D-4C15-B238-B25F1B8D6B09}"/>
              </c:ext>
            </c:extLst>
          </c:dPt>
          <c:dLbls>
            <c:dLbl>
              <c:idx val="0"/>
              <c:layout>
                <c:manualLayout>
                  <c:x val="-8.1966799057896431E-2"/>
                  <c:y val="-5.7295767716535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7D-4C15-B238-B25F1B8D6B09}"/>
                </c:ext>
              </c:extLst>
            </c:dLbl>
            <c:dLbl>
              <c:idx val="1"/>
              <c:layout>
                <c:manualLayout>
                  <c:x val="-7.3877463392456863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67D-4C15-B238-B25F1B8D6B09}"/>
                </c:ext>
              </c:extLst>
            </c:dLbl>
            <c:dLbl>
              <c:idx val="2"/>
              <c:layout>
                <c:manualLayout>
                  <c:x val="-7.0419084543060867E-2"/>
                  <c:y val="-5.2255445135890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67D-4C15-B238-B25F1B8D6B09}"/>
                </c:ext>
              </c:extLst>
            </c:dLbl>
            <c:dLbl>
              <c:idx val="3"/>
              <c:layout>
                <c:manualLayout>
                  <c:x val="-6.7923015236567769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7D-4C15-B238-B25F1B8D6B09}"/>
                </c:ext>
              </c:extLst>
            </c:dLbl>
            <c:dLbl>
              <c:idx val="5"/>
              <c:layout>
                <c:manualLayout>
                  <c:x val="-9.2652602466391745E-2"/>
                  <c:y val="-1.35692096890749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67D-4C15-B238-B25F1B8D6B09}"/>
                </c:ext>
              </c:extLst>
            </c:dLbl>
            <c:dLbl>
              <c:idx val="6"/>
              <c:layout>
                <c:manualLayout>
                  <c:x val="-5.8320125782192297E-2"/>
                  <c:y val="-4.7215122555245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7D-4C15-B238-B25F1B8D6B09}"/>
                </c:ext>
              </c:extLst>
            </c:dLbl>
            <c:dLbl>
              <c:idx val="7"/>
              <c:layout>
                <c:manualLayout>
                  <c:x val="-4.1970966540168846E-2"/>
                  <c:y val="-4.7215122555245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7D-4C15-B238-B25F1B8D6B09}"/>
                </c:ext>
              </c:extLst>
            </c:dLbl>
            <c:dLbl>
              <c:idx val="8"/>
              <c:layout>
                <c:manualLayout>
                  <c:x val="-4.4917881656132197E-2"/>
                  <c:y val="-5.2255445135890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67D-4C15-B238-B25F1B8D6B09}"/>
                </c:ext>
              </c:extLst>
            </c:dLbl>
            <c:dLbl>
              <c:idx val="9"/>
              <c:layout>
                <c:manualLayout>
                  <c:x val="-0.11671034103896596"/>
                  <c:y val="3.30156823364897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67D-4C15-B238-B25F1B8D6B09}"/>
                </c:ext>
              </c:extLst>
            </c:dLbl>
            <c:dLbl>
              <c:idx val="11"/>
              <c:layout>
                <c:manualLayout>
                  <c:x val="-6.7983317442176186E-2"/>
                  <c:y val="6.97617148273629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67D-4C15-B238-B25F1B8D6B09}"/>
                </c:ext>
              </c:extLst>
            </c:dLbl>
            <c:dLbl>
              <c:idx val="12"/>
              <c:layout>
                <c:manualLayout>
                  <c:x val="-1.115685519261984E-2"/>
                  <c:y val="2.68534907510815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67D-4C15-B238-B25F1B8D6B09}"/>
                </c:ext>
              </c:extLst>
            </c:dLbl>
            <c:dLbl>
              <c:idx val="13"/>
              <c:layout>
                <c:manualLayout>
                  <c:x val="-7.2285611451736287E-2"/>
                  <c:y val="-3.85269302600583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67D-4C15-B238-B25F1B8D6B09}"/>
                </c:ext>
              </c:extLst>
            </c:dLbl>
            <c:dLbl>
              <c:idx val="14"/>
              <c:layout>
                <c:manualLayout>
                  <c:x val="-5.8204888582993032E-2"/>
                  <c:y val="-6.8708328041656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67D-4C15-B238-B25F1B8D6B09}"/>
                </c:ext>
              </c:extLst>
            </c:dLbl>
            <c:dLbl>
              <c:idx val="16"/>
              <c:layout>
                <c:manualLayout>
                  <c:x val="-6.5753714426434462E-2"/>
                  <c:y val="-6.2336090297180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67D-4C15-B238-B25F1B8D6B09}"/>
                </c:ext>
              </c:extLst>
            </c:dLbl>
            <c:dLbl>
              <c:idx val="17"/>
              <c:layout>
                <c:manualLayout>
                  <c:x val="-5.3929430633520452E-2"/>
                  <c:y val="-4.9427796495640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67D-4C15-B238-B25F1B8D6B09}"/>
                </c:ext>
              </c:extLst>
            </c:dLbl>
            <c:dLbl>
              <c:idx val="18"/>
              <c:layout>
                <c:manualLayout>
                  <c:x val="-3.9918481521004891E-2"/>
                  <c:y val="-4.4660216042720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67D-4C15-B238-B25F1B8D6B09}"/>
                </c:ext>
              </c:extLst>
            </c:dLbl>
            <c:dLbl>
              <c:idx val="19"/>
              <c:layout>
                <c:manualLayout>
                  <c:x val="-1.8908372219312067E-3"/>
                  <c:y val="-3.51250551368802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67D-4C15-B238-B25F1B8D6B09}"/>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Sheet1!$C$28:$C$75</c:f>
              <c:numCache>
                <c:formatCode>0.0</c:formatCode>
                <c:ptCount val="20"/>
                <c:pt idx="0">
                  <c:v>5.8236124000000009</c:v>
                </c:pt>
                <c:pt idx="1">
                  <c:v>6.5348216000000008</c:v>
                </c:pt>
                <c:pt idx="2">
                  <c:v>8.9207590999999997</c:v>
                </c:pt>
                <c:pt idx="3">
                  <c:v>7.6726024000000006</c:v>
                </c:pt>
                <c:pt idx="4">
                  <c:v>7.4</c:v>
                </c:pt>
                <c:pt idx="5">
                  <c:v>10.303516699999999</c:v>
                </c:pt>
                <c:pt idx="6">
                  <c:v>9.8939643000000004</c:v>
                </c:pt>
                <c:pt idx="7">
                  <c:v>8.2953162999999996</c:v>
                </c:pt>
                <c:pt idx="8">
                  <c:v>5.4</c:v>
                </c:pt>
                <c:pt idx="9">
                  <c:v>-0.5</c:v>
                </c:pt>
                <c:pt idx="10">
                  <c:v>0.1</c:v>
                </c:pt>
                <c:pt idx="11">
                  <c:v>-0.6</c:v>
                </c:pt>
                <c:pt idx="12">
                  <c:v>-1.2</c:v>
                </c:pt>
                <c:pt idx="13">
                  <c:v>0.8</c:v>
                </c:pt>
                <c:pt idx="14">
                  <c:v>0.6</c:v>
                </c:pt>
                <c:pt idx="15">
                  <c:v>1.5</c:v>
                </c:pt>
                <c:pt idx="16">
                  <c:v>3.3</c:v>
                </c:pt>
                <c:pt idx="17">
                  <c:v>3.9</c:v>
                </c:pt>
                <c:pt idx="18">
                  <c:v>3.7</c:v>
                </c:pt>
                <c:pt idx="19">
                  <c:v>3.2797999999999998</c:v>
                </c:pt>
              </c:numCache>
            </c:numRef>
          </c:val>
          <c:smooth val="0"/>
          <c:extLst>
            <c:ext xmlns:c16="http://schemas.microsoft.com/office/drawing/2014/chart" uri="{C3380CC4-5D6E-409C-BE32-E72D297353CC}">
              <c16:uniqueId val="{00000015-D67D-4C15-B238-B25F1B8D6B09}"/>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13896713615023473"/>
          <c:y val="3.1646556125876756E-3"/>
        </c:manualLayout>
      </c:layout>
      <c:overlay val="0"/>
      <c:spPr>
        <a:noFill/>
        <a:ln w="25400">
          <a:noFill/>
        </a:ln>
      </c:spPr>
    </c:title>
    <c:autoTitleDeleted val="0"/>
    <c:plotArea>
      <c:layout>
        <c:manualLayout>
          <c:layoutTarget val="inner"/>
          <c:xMode val="edge"/>
          <c:yMode val="edge"/>
          <c:x val="8.6976451887176079E-2"/>
          <c:y val="0.19806025100104807"/>
          <c:w val="0.87466926401499256"/>
          <c:h val="0.49774367794469376"/>
        </c:manualLayout>
      </c:layout>
      <c:lineChart>
        <c:grouping val="standard"/>
        <c:varyColors val="0"/>
        <c:ser>
          <c:idx val="0"/>
          <c:order val="0"/>
          <c:tx>
            <c:strRef>
              <c:f>Sheet1!$C$1</c:f>
              <c:strCache>
                <c:ptCount val="1"/>
                <c:pt idx="0">
                  <c:v>ԱՄՆ</c:v>
                </c:pt>
              </c:strCache>
            </c:strRef>
          </c:tx>
          <c:spPr>
            <a:ln w="22225" cap="rnd">
              <a:solidFill>
                <a:srgbClr val="44546A"/>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Sheet1!$C$2:$C$97</c:f>
              <c:numCache>
                <c:formatCode>0.0</c:formatCode>
                <c:ptCount val="60"/>
                <c:pt idx="0">
                  <c:v>1.4</c:v>
                </c:pt>
                <c:pt idx="1">
                  <c:v>1.7</c:v>
                </c:pt>
                <c:pt idx="2">
                  <c:v>2.6</c:v>
                </c:pt>
                <c:pt idx="3">
                  <c:v>4.2</c:v>
                </c:pt>
                <c:pt idx="4">
                  <c:v>5</c:v>
                </c:pt>
                <c:pt idx="5">
                  <c:v>5.4</c:v>
                </c:pt>
                <c:pt idx="6">
                  <c:v>5.4</c:v>
                </c:pt>
                <c:pt idx="7">
                  <c:v>5.3</c:v>
                </c:pt>
                <c:pt idx="8">
                  <c:v>5.4</c:v>
                </c:pt>
                <c:pt idx="9">
                  <c:v>6.2</c:v>
                </c:pt>
                <c:pt idx="10">
                  <c:v>6.8</c:v>
                </c:pt>
                <c:pt idx="11">
                  <c:v>7</c:v>
                </c:pt>
                <c:pt idx="12">
                  <c:v>7.5</c:v>
                </c:pt>
                <c:pt idx="13">
                  <c:v>7.9</c:v>
                </c:pt>
                <c:pt idx="14">
                  <c:v>8.5</c:v>
                </c:pt>
                <c:pt idx="15">
                  <c:v>8.3000000000000007</c:v>
                </c:pt>
                <c:pt idx="16">
                  <c:v>8.6</c:v>
                </c:pt>
                <c:pt idx="17">
                  <c:v>9.1</c:v>
                </c:pt>
                <c:pt idx="18">
                  <c:v>8.5</c:v>
                </c:pt>
                <c:pt idx="19">
                  <c:v>8.3000000000000007</c:v>
                </c:pt>
                <c:pt idx="20">
                  <c:v>8.1999999999999993</c:v>
                </c:pt>
                <c:pt idx="21">
                  <c:v>7.7</c:v>
                </c:pt>
                <c:pt idx="22">
                  <c:v>7.1</c:v>
                </c:pt>
                <c:pt idx="23">
                  <c:v>6.5</c:v>
                </c:pt>
                <c:pt idx="24">
                  <c:v>6.4</c:v>
                </c:pt>
                <c:pt idx="25">
                  <c:v>6</c:v>
                </c:pt>
                <c:pt idx="26">
                  <c:v>5</c:v>
                </c:pt>
                <c:pt idx="27">
                  <c:v>4.9000000000000004</c:v>
                </c:pt>
                <c:pt idx="28">
                  <c:v>4.05</c:v>
                </c:pt>
                <c:pt idx="29">
                  <c:v>2.97</c:v>
                </c:pt>
                <c:pt idx="30">
                  <c:v>3.2</c:v>
                </c:pt>
                <c:pt idx="31">
                  <c:v>3.7</c:v>
                </c:pt>
                <c:pt idx="32">
                  <c:v>3.7</c:v>
                </c:pt>
                <c:pt idx="33">
                  <c:v>3.2</c:v>
                </c:pt>
                <c:pt idx="34">
                  <c:v>3.1</c:v>
                </c:pt>
                <c:pt idx="35">
                  <c:v>3.4</c:v>
                </c:pt>
                <c:pt idx="36">
                  <c:v>3.1</c:v>
                </c:pt>
                <c:pt idx="37">
                  <c:v>3.2</c:v>
                </c:pt>
                <c:pt idx="38">
                  <c:v>3.5</c:v>
                </c:pt>
                <c:pt idx="39">
                  <c:v>3.4</c:v>
                </c:pt>
                <c:pt idx="40">
                  <c:v>3.3</c:v>
                </c:pt>
                <c:pt idx="41">
                  <c:v>3</c:v>
                </c:pt>
                <c:pt idx="42">
                  <c:v>2.9</c:v>
                </c:pt>
                <c:pt idx="43">
                  <c:v>2.5</c:v>
                </c:pt>
                <c:pt idx="44">
                  <c:v>2.4</c:v>
                </c:pt>
                <c:pt idx="45" formatCode="General">
                  <c:v>2.6</c:v>
                </c:pt>
                <c:pt idx="46" formatCode="General">
                  <c:v>2.7</c:v>
                </c:pt>
                <c:pt idx="47" formatCode="General">
                  <c:v>2.9</c:v>
                </c:pt>
                <c:pt idx="48">
                  <c:v>3</c:v>
                </c:pt>
                <c:pt idx="49">
                  <c:v>2.8</c:v>
                </c:pt>
                <c:pt idx="50">
                  <c:v>2.4</c:v>
                </c:pt>
                <c:pt idx="51">
                  <c:v>2.2999999999999998</c:v>
                </c:pt>
                <c:pt idx="52">
                  <c:v>2.4</c:v>
                </c:pt>
                <c:pt idx="53">
                  <c:v>2.7</c:v>
                </c:pt>
                <c:pt idx="54">
                  <c:v>2.7</c:v>
                </c:pt>
                <c:pt idx="55">
                  <c:v>2.9</c:v>
                </c:pt>
                <c:pt idx="56">
                  <c:v>3</c:v>
                </c:pt>
                <c:pt idx="57">
                  <c:v>3</c:v>
                </c:pt>
                <c:pt idx="58">
                  <c:v>2.7</c:v>
                </c:pt>
                <c:pt idx="59">
                  <c:v>2.7</c:v>
                </c:pt>
              </c:numCache>
            </c:numRef>
          </c:val>
          <c:smooth val="0"/>
          <c:extLst>
            <c:ext xmlns:c16="http://schemas.microsoft.com/office/drawing/2014/chart" uri="{C3380CC4-5D6E-409C-BE32-E72D297353CC}">
              <c16:uniqueId val="{00000000-F0CA-4D2C-9A53-84F6A0EC9D93}"/>
            </c:ext>
          </c:extLst>
        </c:ser>
        <c:ser>
          <c:idx val="1"/>
          <c:order val="1"/>
          <c:tx>
            <c:strRef>
              <c:f>Sheet1!$D$1</c:f>
              <c:strCache>
                <c:ptCount val="1"/>
                <c:pt idx="0">
                  <c:v>ԵԳ</c:v>
                </c:pt>
              </c:strCache>
            </c:strRef>
          </c:tx>
          <c:spPr>
            <a:ln w="22225" cap="rnd">
              <a:solidFill>
                <a:srgbClr val="5B9BD5"/>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Sheet1!$D$2:$D$97</c:f>
              <c:numCache>
                <c:formatCode>General</c:formatCode>
                <c:ptCount val="60"/>
                <c:pt idx="0">
                  <c:v>0.9</c:v>
                </c:pt>
                <c:pt idx="1">
                  <c:v>0.9</c:v>
                </c:pt>
                <c:pt idx="2">
                  <c:v>1.3</c:v>
                </c:pt>
                <c:pt idx="3">
                  <c:v>1.6</c:v>
                </c:pt>
                <c:pt idx="4">
                  <c:v>2</c:v>
                </c:pt>
                <c:pt idx="5">
                  <c:v>1.9</c:v>
                </c:pt>
                <c:pt idx="6">
                  <c:v>2.2000000000000002</c:v>
                </c:pt>
                <c:pt idx="7">
                  <c:v>3</c:v>
                </c:pt>
                <c:pt idx="8">
                  <c:v>3.4</c:v>
                </c:pt>
                <c:pt idx="9">
                  <c:v>4.0999999999999996</c:v>
                </c:pt>
                <c:pt idx="10">
                  <c:v>4.9000000000000004</c:v>
                </c:pt>
                <c:pt idx="11">
                  <c:v>5</c:v>
                </c:pt>
                <c:pt idx="12">
                  <c:v>5.0999999999999996</c:v>
                </c:pt>
                <c:pt idx="13">
                  <c:v>5.9</c:v>
                </c:pt>
                <c:pt idx="14">
                  <c:v>7.4</c:v>
                </c:pt>
                <c:pt idx="15">
                  <c:v>7.4</c:v>
                </c:pt>
                <c:pt idx="16">
                  <c:v>8.1</c:v>
                </c:pt>
                <c:pt idx="17">
                  <c:v>8.6</c:v>
                </c:pt>
                <c:pt idx="18">
                  <c:v>8.9</c:v>
                </c:pt>
                <c:pt idx="19">
                  <c:v>9.1</c:v>
                </c:pt>
                <c:pt idx="20">
                  <c:v>9.9</c:v>
                </c:pt>
                <c:pt idx="21">
                  <c:v>10.6</c:v>
                </c:pt>
                <c:pt idx="22">
                  <c:v>10.1</c:v>
                </c:pt>
                <c:pt idx="23">
                  <c:v>9.1999999999999993</c:v>
                </c:pt>
                <c:pt idx="24" formatCode="0.0">
                  <c:v>8.6</c:v>
                </c:pt>
                <c:pt idx="25" formatCode="0.0">
                  <c:v>8.5</c:v>
                </c:pt>
                <c:pt idx="26" formatCode="0.0">
                  <c:v>6.9</c:v>
                </c:pt>
                <c:pt idx="27" formatCode="0.0">
                  <c:v>7</c:v>
                </c:pt>
                <c:pt idx="28" formatCode="0.0">
                  <c:v>6.1</c:v>
                </c:pt>
                <c:pt idx="29" formatCode="0.0">
                  <c:v>5.5</c:v>
                </c:pt>
                <c:pt idx="30" formatCode="0.0">
                  <c:v>5.3</c:v>
                </c:pt>
                <c:pt idx="31" formatCode="0.0">
                  <c:v>5.3</c:v>
                </c:pt>
                <c:pt idx="32" formatCode="0.0">
                  <c:v>4.3</c:v>
                </c:pt>
                <c:pt idx="33" formatCode="0.0">
                  <c:v>2.9</c:v>
                </c:pt>
                <c:pt idx="34" formatCode="0.0">
                  <c:v>2.4</c:v>
                </c:pt>
                <c:pt idx="35" formatCode="0.0">
                  <c:v>2.9</c:v>
                </c:pt>
                <c:pt idx="36" formatCode="0.0">
                  <c:v>2.8</c:v>
                </c:pt>
                <c:pt idx="37" formatCode="0.0">
                  <c:v>2.6</c:v>
                </c:pt>
                <c:pt idx="38" formatCode="0.0">
                  <c:v>2.4</c:v>
                </c:pt>
                <c:pt idx="39" formatCode="0.0">
                  <c:v>2.4</c:v>
                </c:pt>
                <c:pt idx="40" formatCode="0.0">
                  <c:v>2.6</c:v>
                </c:pt>
                <c:pt idx="41" formatCode="0.0">
                  <c:v>2.5</c:v>
                </c:pt>
                <c:pt idx="42" formatCode="0.0">
                  <c:v>2.6</c:v>
                </c:pt>
                <c:pt idx="43" formatCode="0.0">
                  <c:v>2.2000000000000002</c:v>
                </c:pt>
                <c:pt idx="44" formatCode="0.0">
                  <c:v>1.7</c:v>
                </c:pt>
                <c:pt idx="45">
                  <c:v>2</c:v>
                </c:pt>
                <c:pt idx="46">
                  <c:v>2.2000000000000002</c:v>
                </c:pt>
                <c:pt idx="47">
                  <c:v>2.4</c:v>
                </c:pt>
                <c:pt idx="48" formatCode="0.0">
                  <c:v>2.5</c:v>
                </c:pt>
                <c:pt idx="49" formatCode="0.0">
                  <c:v>2.2999999999999998</c:v>
                </c:pt>
                <c:pt idx="50" formatCode="0.0">
                  <c:v>2.2000000000000002</c:v>
                </c:pt>
                <c:pt idx="51" formatCode="0.0">
                  <c:v>2.2000000000000002</c:v>
                </c:pt>
                <c:pt idx="52" formatCode="0.0">
                  <c:v>1.9</c:v>
                </c:pt>
                <c:pt idx="53" formatCode="0.0">
                  <c:v>2</c:v>
                </c:pt>
                <c:pt idx="54" formatCode="0.0">
                  <c:v>2</c:v>
                </c:pt>
                <c:pt idx="55" formatCode="0.0">
                  <c:v>2</c:v>
                </c:pt>
                <c:pt idx="56" formatCode="0.0">
                  <c:v>2.2000000000000002</c:v>
                </c:pt>
                <c:pt idx="57" formatCode="0.0">
                  <c:v>2.1</c:v>
                </c:pt>
                <c:pt idx="58" formatCode="0.0">
                  <c:v>2.1</c:v>
                </c:pt>
                <c:pt idx="59" formatCode="0.0">
                  <c:v>2</c:v>
                </c:pt>
              </c:numCache>
            </c:numRef>
          </c:val>
          <c:smooth val="0"/>
          <c:extLst>
            <c:ext xmlns:c16="http://schemas.microsoft.com/office/drawing/2014/chart" uri="{C3380CC4-5D6E-409C-BE32-E72D297353CC}">
              <c16:uniqueId val="{00000001-F0CA-4D2C-9A53-84F6A0EC9D93}"/>
            </c:ext>
          </c:extLst>
        </c:ser>
        <c:ser>
          <c:idx val="2"/>
          <c:order val="2"/>
          <c:tx>
            <c:strRef>
              <c:f>Sheet1!$E$1</c:f>
              <c:strCache>
                <c:ptCount val="1"/>
                <c:pt idx="0">
                  <c:v>Չինաստան</c:v>
                </c:pt>
              </c:strCache>
            </c:strRef>
          </c:tx>
          <c:spPr>
            <a:ln w="22225" cap="rnd">
              <a:solidFill>
                <a:sysClr val="window" lastClr="FFFFFF">
                  <a:lumMod val="50000"/>
                </a:sys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Sheet1!$E$2:$E$97</c:f>
              <c:numCache>
                <c:formatCode>General</c:formatCode>
                <c:ptCount val="60"/>
                <c:pt idx="0">
                  <c:v>-0.3</c:v>
                </c:pt>
                <c:pt idx="1">
                  <c:v>-0.2</c:v>
                </c:pt>
                <c:pt idx="2">
                  <c:v>0.4</c:v>
                </c:pt>
                <c:pt idx="3">
                  <c:v>0.9</c:v>
                </c:pt>
                <c:pt idx="4">
                  <c:v>1.3</c:v>
                </c:pt>
                <c:pt idx="5">
                  <c:v>1.1000000000000001</c:v>
                </c:pt>
                <c:pt idx="6">
                  <c:v>1</c:v>
                </c:pt>
                <c:pt idx="7">
                  <c:v>0.8</c:v>
                </c:pt>
                <c:pt idx="8">
                  <c:v>0.7</c:v>
                </c:pt>
                <c:pt idx="9">
                  <c:v>1.5</c:v>
                </c:pt>
                <c:pt idx="10">
                  <c:v>2.2999999999999998</c:v>
                </c:pt>
                <c:pt idx="11">
                  <c:v>1.5</c:v>
                </c:pt>
                <c:pt idx="12">
                  <c:v>0.9</c:v>
                </c:pt>
                <c:pt idx="13">
                  <c:v>0.9</c:v>
                </c:pt>
                <c:pt idx="14">
                  <c:v>1.5</c:v>
                </c:pt>
                <c:pt idx="15">
                  <c:v>2.1</c:v>
                </c:pt>
                <c:pt idx="16">
                  <c:v>2.1</c:v>
                </c:pt>
                <c:pt idx="17">
                  <c:v>2.5</c:v>
                </c:pt>
                <c:pt idx="18">
                  <c:v>2.7</c:v>
                </c:pt>
                <c:pt idx="19">
                  <c:v>2.5</c:v>
                </c:pt>
                <c:pt idx="20">
                  <c:v>2.8</c:v>
                </c:pt>
                <c:pt idx="21">
                  <c:v>2.1</c:v>
                </c:pt>
                <c:pt idx="22">
                  <c:v>1.6</c:v>
                </c:pt>
                <c:pt idx="23">
                  <c:v>1.8</c:v>
                </c:pt>
                <c:pt idx="24" formatCode="0.0">
                  <c:v>2.1</c:v>
                </c:pt>
                <c:pt idx="25" formatCode="0.0">
                  <c:v>1</c:v>
                </c:pt>
                <c:pt idx="26" formatCode="0.0">
                  <c:v>0.7</c:v>
                </c:pt>
                <c:pt idx="27" formatCode="0.0">
                  <c:v>0.1</c:v>
                </c:pt>
                <c:pt idx="28" formatCode="0.0">
                  <c:v>0.2</c:v>
                </c:pt>
                <c:pt idx="29" formatCode="0.0">
                  <c:v>0</c:v>
                </c:pt>
                <c:pt idx="30" formatCode="0.0">
                  <c:v>-0.3</c:v>
                </c:pt>
                <c:pt idx="31" formatCode="0.0">
                  <c:v>0.1</c:v>
                </c:pt>
                <c:pt idx="32" formatCode="0.0">
                  <c:v>0</c:v>
                </c:pt>
                <c:pt idx="33" formatCode="0.0">
                  <c:v>-0.2</c:v>
                </c:pt>
                <c:pt idx="34" formatCode="0.0">
                  <c:v>-0.5</c:v>
                </c:pt>
                <c:pt idx="35" formatCode="0.0">
                  <c:v>-0.3</c:v>
                </c:pt>
                <c:pt idx="36" formatCode="0.0">
                  <c:v>-0.8</c:v>
                </c:pt>
                <c:pt idx="37" formatCode="0.0">
                  <c:v>0.7</c:v>
                </c:pt>
                <c:pt idx="38" formatCode="0.0">
                  <c:v>0.1</c:v>
                </c:pt>
                <c:pt idx="39" formatCode="0.0">
                  <c:v>0.3</c:v>
                </c:pt>
                <c:pt idx="40" formatCode="0.0">
                  <c:v>0.3</c:v>
                </c:pt>
                <c:pt idx="41" formatCode="0.0">
                  <c:v>0.2</c:v>
                </c:pt>
                <c:pt idx="42" formatCode="0.0">
                  <c:v>0.5</c:v>
                </c:pt>
                <c:pt idx="43" formatCode="0.0">
                  <c:v>0.6</c:v>
                </c:pt>
                <c:pt idx="44" formatCode="0.0">
                  <c:v>0.4</c:v>
                </c:pt>
                <c:pt idx="45">
                  <c:v>0.3</c:v>
                </c:pt>
                <c:pt idx="46">
                  <c:v>0.2</c:v>
                </c:pt>
                <c:pt idx="47">
                  <c:v>0.1</c:v>
                </c:pt>
                <c:pt idx="48" formatCode="0.0">
                  <c:v>0.5</c:v>
                </c:pt>
                <c:pt idx="49" formatCode="0.0">
                  <c:v>-0.7</c:v>
                </c:pt>
                <c:pt idx="50" formatCode="0.0">
                  <c:v>-0.1</c:v>
                </c:pt>
                <c:pt idx="51" formatCode="0.0">
                  <c:v>-0.1</c:v>
                </c:pt>
                <c:pt idx="52" formatCode="0.0">
                  <c:v>-0.1</c:v>
                </c:pt>
                <c:pt idx="53" formatCode="0.0">
                  <c:v>0.1</c:v>
                </c:pt>
                <c:pt idx="54" formatCode="0.0">
                  <c:v>0</c:v>
                </c:pt>
                <c:pt idx="55" formatCode="0.0">
                  <c:v>-0.4</c:v>
                </c:pt>
                <c:pt idx="56" formatCode="0.0">
                  <c:v>-0.3</c:v>
                </c:pt>
                <c:pt idx="57" formatCode="0.0">
                  <c:v>0.2</c:v>
                </c:pt>
                <c:pt idx="58" formatCode="0.0">
                  <c:v>0.7</c:v>
                </c:pt>
                <c:pt idx="59" formatCode="0.0">
                  <c:v>0.8</c:v>
                </c:pt>
              </c:numCache>
            </c:numRef>
          </c:val>
          <c:smooth val="0"/>
          <c:extLst>
            <c:ext xmlns:c16="http://schemas.microsoft.com/office/drawing/2014/chart" uri="{C3380CC4-5D6E-409C-BE32-E72D297353CC}">
              <c16:uniqueId val="{00000002-F0CA-4D2C-9A53-84F6A0EC9D93}"/>
            </c:ext>
          </c:extLst>
        </c:ser>
        <c:ser>
          <c:idx val="3"/>
          <c:order val="3"/>
          <c:tx>
            <c:strRef>
              <c:f>Sheet1!$F$1</c:f>
              <c:strCache>
                <c:ptCount val="1"/>
                <c:pt idx="0">
                  <c:v>ՌԴ</c:v>
                </c:pt>
              </c:strCache>
            </c:strRef>
          </c:tx>
          <c:spPr>
            <a:ln w="22225" cap="rnd">
              <a:solidFill>
                <a:srgbClr val="ED7D31">
                  <a:lumMod val="60000"/>
                  <a:lumOff val="40000"/>
                </a:srgb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Sheet1!$F$2:$F$97</c:f>
              <c:numCache>
                <c:formatCode>0.0</c:formatCode>
                <c:ptCount val="60"/>
                <c:pt idx="0">
                  <c:v>5.1946070000000004</c:v>
                </c:pt>
                <c:pt idx="1">
                  <c:v>5.6664250000000003</c:v>
                </c:pt>
                <c:pt idx="2">
                  <c:v>5.7820220000000004</c:v>
                </c:pt>
                <c:pt idx="3">
                  <c:v>5.5197440000000002</c:v>
                </c:pt>
                <c:pt idx="4">
                  <c:v>6.0143519999999997</c:v>
                </c:pt>
                <c:pt idx="5">
                  <c:v>6.5115259999999999</c:v>
                </c:pt>
                <c:pt idx="6">
                  <c:v>6.4690690000000002</c:v>
                </c:pt>
                <c:pt idx="7">
                  <c:v>6.6927440000000002</c:v>
                </c:pt>
                <c:pt idx="8">
                  <c:v>7.4080859999999999</c:v>
                </c:pt>
                <c:pt idx="9">
                  <c:v>8.1353340000000003</c:v>
                </c:pt>
                <c:pt idx="10">
                  <c:v>8.4037670000000002</c:v>
                </c:pt>
                <c:pt idx="11">
                  <c:v>8.3930150000000001</c:v>
                </c:pt>
                <c:pt idx="12">
                  <c:v>8.73</c:v>
                </c:pt>
                <c:pt idx="13" formatCode="General">
                  <c:v>9.1999999999999993</c:v>
                </c:pt>
                <c:pt idx="14" formatCode="General">
                  <c:v>16.7</c:v>
                </c:pt>
                <c:pt idx="15" formatCode="General">
                  <c:v>17.8</c:v>
                </c:pt>
                <c:pt idx="16" formatCode="General">
                  <c:v>17.100000000000001</c:v>
                </c:pt>
                <c:pt idx="17" formatCode="General">
                  <c:v>15.9</c:v>
                </c:pt>
                <c:pt idx="18" formatCode="General">
                  <c:v>15.1</c:v>
                </c:pt>
                <c:pt idx="19" formatCode="General">
                  <c:v>14.3</c:v>
                </c:pt>
                <c:pt idx="20" formatCode="General">
                  <c:v>13.7</c:v>
                </c:pt>
                <c:pt idx="21" formatCode="General">
                  <c:v>12.6</c:v>
                </c:pt>
                <c:pt idx="22">
                  <c:v>12</c:v>
                </c:pt>
                <c:pt idx="23" formatCode="General">
                  <c:v>11.9</c:v>
                </c:pt>
                <c:pt idx="24">
                  <c:v>11.8</c:v>
                </c:pt>
                <c:pt idx="25">
                  <c:v>11</c:v>
                </c:pt>
                <c:pt idx="26">
                  <c:v>3.5</c:v>
                </c:pt>
                <c:pt idx="27">
                  <c:v>2.2999999999999998</c:v>
                </c:pt>
                <c:pt idx="28">
                  <c:v>2.5</c:v>
                </c:pt>
                <c:pt idx="29">
                  <c:v>3.2</c:v>
                </c:pt>
                <c:pt idx="30">
                  <c:v>4.3</c:v>
                </c:pt>
                <c:pt idx="31">
                  <c:v>5.2</c:v>
                </c:pt>
                <c:pt idx="32">
                  <c:v>6</c:v>
                </c:pt>
                <c:pt idx="33">
                  <c:v>6.7</c:v>
                </c:pt>
                <c:pt idx="34">
                  <c:v>7.5</c:v>
                </c:pt>
                <c:pt idx="35">
                  <c:v>7.4</c:v>
                </c:pt>
                <c:pt idx="36">
                  <c:v>7.4</c:v>
                </c:pt>
                <c:pt idx="37">
                  <c:v>7.7</c:v>
                </c:pt>
                <c:pt idx="38">
                  <c:v>7.7</c:v>
                </c:pt>
                <c:pt idx="39">
                  <c:v>7.8</c:v>
                </c:pt>
                <c:pt idx="40">
                  <c:v>8.3000000000000007</c:v>
                </c:pt>
                <c:pt idx="41">
                  <c:v>8.6</c:v>
                </c:pt>
                <c:pt idx="42">
                  <c:v>9.1</c:v>
                </c:pt>
                <c:pt idx="43">
                  <c:v>9.1</c:v>
                </c:pt>
                <c:pt idx="44">
                  <c:v>8.6</c:v>
                </c:pt>
                <c:pt idx="45" formatCode="General">
                  <c:v>8.5</c:v>
                </c:pt>
                <c:pt idx="46" formatCode="General">
                  <c:v>8.9</c:v>
                </c:pt>
                <c:pt idx="47" formatCode="General">
                  <c:v>9.5</c:v>
                </c:pt>
                <c:pt idx="48">
                  <c:v>9.9</c:v>
                </c:pt>
                <c:pt idx="49">
                  <c:v>10.1</c:v>
                </c:pt>
                <c:pt idx="50">
                  <c:v>10.3</c:v>
                </c:pt>
                <c:pt idx="51">
                  <c:v>10.199999999999999</c:v>
                </c:pt>
                <c:pt idx="52">
                  <c:v>9.9</c:v>
                </c:pt>
                <c:pt idx="53">
                  <c:v>9.4</c:v>
                </c:pt>
                <c:pt idx="54">
                  <c:v>8.8000000000000007</c:v>
                </c:pt>
                <c:pt idx="55">
                  <c:v>8.1</c:v>
                </c:pt>
                <c:pt idx="56">
                  <c:v>8</c:v>
                </c:pt>
                <c:pt idx="57">
                  <c:v>7.7</c:v>
                </c:pt>
                <c:pt idx="58">
                  <c:v>6.6</c:v>
                </c:pt>
                <c:pt idx="59">
                  <c:v>5.6</c:v>
                </c:pt>
              </c:numCache>
            </c:numRef>
          </c:val>
          <c:smooth val="0"/>
          <c:extLst>
            <c:ext xmlns:c16="http://schemas.microsoft.com/office/drawing/2014/chart" uri="{C3380CC4-5D6E-409C-BE32-E72D297353CC}">
              <c16:uniqueId val="{00000003-F0CA-4D2C-9A53-84F6A0EC9D93}"/>
            </c:ext>
          </c:extLst>
        </c:ser>
        <c:dLbls>
          <c:showLegendKey val="0"/>
          <c:showVal val="0"/>
          <c:showCatName val="0"/>
          <c:showSerName val="0"/>
          <c:showPercent val="0"/>
          <c:showBubbleSize val="0"/>
        </c:dLbls>
        <c:smooth val="0"/>
        <c:axId val="1913055536"/>
        <c:axId val="1913058800"/>
      </c:lineChart>
      <c:catAx>
        <c:axId val="1913055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800"/>
        <c:crosses val="autoZero"/>
        <c:auto val="1"/>
        <c:lblAlgn val="ctr"/>
        <c:lblOffset val="100"/>
        <c:noMultiLvlLbl val="0"/>
      </c:catAx>
      <c:valAx>
        <c:axId val="19130588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553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cap="none" spc="0" normalizeH="0" baseline="0">
                <a:solidFill>
                  <a:schemeClr val="tx1">
                    <a:lumMod val="65000"/>
                    <a:lumOff val="35000"/>
                  </a:schemeClr>
                </a:solidFill>
                <a:latin typeface="GHEA Grapalat" panose="02000506050000020003" pitchFamily="50" charset="0"/>
                <a:ea typeface="+mj-ea"/>
                <a:cs typeface="+mj-cs"/>
              </a:defRPr>
            </a:pPr>
            <a:r>
              <a:rPr lang="en-US" sz="1000" b="0" baseline="0">
                <a:solidFill>
                  <a:schemeClr val="tx1">
                    <a:lumMod val="65000"/>
                    <a:lumOff val="35000"/>
                  </a:schemeClr>
                </a:solidFill>
              </a:rPr>
              <a:t>Մ</a:t>
            </a:r>
            <a:r>
              <a:rPr lang="hy-AM" sz="1000" b="0" baseline="0">
                <a:solidFill>
                  <a:schemeClr val="tx1">
                    <a:lumMod val="65000"/>
                    <a:lumOff val="35000"/>
                  </a:schemeClr>
                </a:solidFill>
              </a:rPr>
              <a:t>իջին գնաճ</a:t>
            </a:r>
            <a:r>
              <a:rPr lang="en-US" sz="1000" b="0" baseline="0">
                <a:solidFill>
                  <a:schemeClr val="tx1">
                    <a:lumMod val="65000"/>
                    <a:lumOff val="35000"/>
                  </a:schemeClr>
                </a:solidFill>
              </a:rPr>
              <a:t>, %</a:t>
            </a:r>
          </a:p>
        </c:rich>
      </c:tx>
      <c:layout>
        <c:manualLayout>
          <c:xMode val="edge"/>
          <c:yMode val="edge"/>
          <c:x val="0.33438614880437462"/>
          <c:y val="1.2687019605266862E-2"/>
        </c:manualLayout>
      </c:layout>
      <c:overlay val="0"/>
      <c:spPr>
        <a:noFill/>
        <a:ln>
          <a:noFill/>
        </a:ln>
        <a:effectLst/>
      </c:spPr>
    </c:title>
    <c:autoTitleDeleted val="0"/>
    <c:plotArea>
      <c:layout>
        <c:manualLayout>
          <c:layoutTarget val="inner"/>
          <c:xMode val="edge"/>
          <c:yMode val="edge"/>
          <c:x val="0.11270836908098351"/>
          <c:y val="0.14797878298685471"/>
          <c:w val="0.86519527873387103"/>
          <c:h val="0.64058337165542023"/>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Sheet1!$D$2:$D$75</c:f>
              <c:numCache>
                <c:formatCode>0.0</c:formatCode>
                <c:ptCount val="20"/>
                <c:pt idx="0">
                  <c:v>2.6414839999999997</c:v>
                </c:pt>
                <c:pt idx="1">
                  <c:v>2.8647079999999998</c:v>
                </c:pt>
                <c:pt idx="2">
                  <c:v>3.6831960000000006</c:v>
                </c:pt>
                <c:pt idx="3">
                  <c:v>4.1668479999999999</c:v>
                </c:pt>
                <c:pt idx="4">
                  <c:v>4.501684</c:v>
                </c:pt>
                <c:pt idx="5">
                  <c:v>5.0969480000000003</c:v>
                </c:pt>
                <c:pt idx="6">
                  <c:v>5.0597440000000002</c:v>
                </c:pt>
                <c:pt idx="7">
                  <c:v>4.8365200000000002</c:v>
                </c:pt>
                <c:pt idx="8">
                  <c:v>3.05775</c:v>
                </c:pt>
                <c:pt idx="9">
                  <c:v>1.0947499999999999</c:v>
                </c:pt>
                <c:pt idx="10">
                  <c:v>0.26424999999999998</c:v>
                </c:pt>
                <c:pt idx="11">
                  <c:v>-0.18875</c:v>
                </c:pt>
                <c:pt idx="12">
                  <c:v>-2.60568</c:v>
                </c:pt>
                <c:pt idx="13">
                  <c:v>-1.8198400000000001</c:v>
                </c:pt>
                <c:pt idx="14">
                  <c:v>-1.2407999999999999</c:v>
                </c:pt>
                <c:pt idx="15">
                  <c:v>-0.82719999999999994</c:v>
                </c:pt>
                <c:pt idx="16">
                  <c:v>1.6771910999999997</c:v>
                </c:pt>
                <c:pt idx="17">
                  <c:v>2.1271692</c:v>
                </c:pt>
                <c:pt idx="18">
                  <c:v>2.1271692</c:v>
                </c:pt>
                <c:pt idx="19">
                  <c:v>2.0453550000000003</c:v>
                </c:pt>
              </c:numCache>
            </c:numRef>
          </c:val>
          <c:extLst>
            <c:ext xmlns:c16="http://schemas.microsoft.com/office/drawing/2014/chart" uri="{C3380CC4-5D6E-409C-BE32-E72D297353CC}">
              <c16:uniqueId val="{00000000-B845-411B-9A8D-BEE261E7A34E}"/>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Sheet1!$E$2:$E$75</c:f>
              <c:numCache>
                <c:formatCode>0.0</c:formatCode>
                <c:ptCount val="20"/>
                <c:pt idx="0">
                  <c:v>0.42338649999999994</c:v>
                </c:pt>
                <c:pt idx="1">
                  <c:v>0.40555969999999997</c:v>
                </c:pt>
                <c:pt idx="2">
                  <c:v>0.41001639999999995</c:v>
                </c:pt>
                <c:pt idx="3">
                  <c:v>0.41447310000000004</c:v>
                </c:pt>
                <c:pt idx="4">
                  <c:v>0.35207929999999998</c:v>
                </c:pt>
                <c:pt idx="5">
                  <c:v>0.3476226</c:v>
                </c:pt>
                <c:pt idx="6">
                  <c:v>0.35653599999999996</c:v>
                </c:pt>
                <c:pt idx="7">
                  <c:v>0.36544939999999998</c:v>
                </c:pt>
                <c:pt idx="8">
                  <c:v>0.34943999999999997</c:v>
                </c:pt>
                <c:pt idx="9">
                  <c:v>0.33024000000000003</c:v>
                </c:pt>
                <c:pt idx="10">
                  <c:v>0.32640000000000002</c:v>
                </c:pt>
                <c:pt idx="11">
                  <c:v>0.32640000000000002</c:v>
                </c:pt>
                <c:pt idx="12">
                  <c:v>0.33596000000000004</c:v>
                </c:pt>
                <c:pt idx="13">
                  <c:v>0.30418000000000001</c:v>
                </c:pt>
                <c:pt idx="14">
                  <c:v>0.26785999999999999</c:v>
                </c:pt>
                <c:pt idx="15">
                  <c:v>0.24516000000000002</c:v>
                </c:pt>
                <c:pt idx="16">
                  <c:v>0.17654599999999998</c:v>
                </c:pt>
                <c:pt idx="17">
                  <c:v>0.219606</c:v>
                </c:pt>
                <c:pt idx="18">
                  <c:v>0.24113599999999999</c:v>
                </c:pt>
                <c:pt idx="19">
                  <c:v>0.25835999999999998</c:v>
                </c:pt>
              </c:numCache>
            </c:numRef>
          </c:val>
          <c:extLst>
            <c:ext xmlns:c16="http://schemas.microsoft.com/office/drawing/2014/chart" uri="{C3380CC4-5D6E-409C-BE32-E72D297353CC}">
              <c16:uniqueId val="{00000001-B845-411B-9A8D-BEE261E7A34E}"/>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Sheet1!$F$2:$F$75</c:f>
              <c:numCache>
                <c:formatCode>0.0</c:formatCode>
                <c:ptCount val="20"/>
                <c:pt idx="0">
                  <c:v>1.5324900000000001</c:v>
                </c:pt>
                <c:pt idx="1">
                  <c:v>1.7545900000000001</c:v>
                </c:pt>
                <c:pt idx="2">
                  <c:v>1.88785</c:v>
                </c:pt>
                <c:pt idx="3">
                  <c:v>1.9322699999999999</c:v>
                </c:pt>
                <c:pt idx="4">
                  <c:v>1.2215499999999999</c:v>
                </c:pt>
                <c:pt idx="5">
                  <c:v>1.3548099999999998</c:v>
                </c:pt>
                <c:pt idx="6">
                  <c:v>1.5102799999999998</c:v>
                </c:pt>
                <c:pt idx="7">
                  <c:v>1.5547</c:v>
                </c:pt>
                <c:pt idx="8">
                  <c:v>1.25604</c:v>
                </c:pt>
                <c:pt idx="9">
                  <c:v>0.76757999999999993</c:v>
                </c:pt>
                <c:pt idx="10">
                  <c:v>0.51172000000000006</c:v>
                </c:pt>
                <c:pt idx="11">
                  <c:v>0.39541999999999999</c:v>
                </c:pt>
                <c:pt idx="12">
                  <c:v>8.6720000000000005E-2</c:v>
                </c:pt>
                <c:pt idx="13">
                  <c:v>2.1680000000000001E-2</c:v>
                </c:pt>
                <c:pt idx="14">
                  <c:v>-8.6720000000000005E-2</c:v>
                </c:pt>
                <c:pt idx="15">
                  <c:v>-0.17344000000000001</c:v>
                </c:pt>
                <c:pt idx="16">
                  <c:v>-0.23265</c:v>
                </c:pt>
                <c:pt idx="17">
                  <c:v>-0.14804999999999999</c:v>
                </c:pt>
                <c:pt idx="18">
                  <c:v>-4.2299999999999997E-2</c:v>
                </c:pt>
                <c:pt idx="19">
                  <c:v>2.1149999999999999E-2</c:v>
                </c:pt>
              </c:numCache>
            </c:numRef>
          </c:val>
          <c:extLst>
            <c:ext xmlns:c16="http://schemas.microsoft.com/office/drawing/2014/chart" uri="{C3380CC4-5D6E-409C-BE32-E72D297353CC}">
              <c16:uniqueId val="{00000002-B845-411B-9A8D-BEE261E7A34E}"/>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Sheet1!$G$2:$G$75</c:f>
              <c:numCache>
                <c:formatCode>0.0</c:formatCode>
                <c:ptCount val="20"/>
                <c:pt idx="0">
                  <c:v>0.61421000000000003</c:v>
                </c:pt>
                <c:pt idx="1">
                  <c:v>0.72260000000000002</c:v>
                </c:pt>
                <c:pt idx="2">
                  <c:v>0.68647000000000002</c:v>
                </c:pt>
                <c:pt idx="3">
                  <c:v>0.68647000000000002</c:v>
                </c:pt>
                <c:pt idx="4">
                  <c:v>0.90325</c:v>
                </c:pt>
                <c:pt idx="5">
                  <c:v>1.2645500000000001</c:v>
                </c:pt>
                <c:pt idx="6">
                  <c:v>1.62585</c:v>
                </c:pt>
                <c:pt idx="7">
                  <c:v>1.8787600000000004</c:v>
                </c:pt>
                <c:pt idx="8">
                  <c:v>2.4253499999999999</c:v>
                </c:pt>
                <c:pt idx="9">
                  <c:v>2.0035499999999997</c:v>
                </c:pt>
                <c:pt idx="10">
                  <c:v>1.7575000000000001</c:v>
                </c:pt>
                <c:pt idx="11">
                  <c:v>1.5817499999999998</c:v>
                </c:pt>
                <c:pt idx="12">
                  <c:v>0.97260000000000002</c:v>
                </c:pt>
                <c:pt idx="13">
                  <c:v>0.90776000000000001</c:v>
                </c:pt>
                <c:pt idx="14">
                  <c:v>0.97260000000000002</c:v>
                </c:pt>
                <c:pt idx="15">
                  <c:v>0.97260000000000002</c:v>
                </c:pt>
                <c:pt idx="16">
                  <c:v>0.90827999999999998</c:v>
                </c:pt>
                <c:pt idx="17">
                  <c:v>0.97555999999999998</c:v>
                </c:pt>
                <c:pt idx="18">
                  <c:v>1.0092000000000001</c:v>
                </c:pt>
                <c:pt idx="19">
                  <c:v>1.0092000000000001</c:v>
                </c:pt>
              </c:numCache>
            </c:numRef>
          </c:val>
          <c:extLst>
            <c:ext xmlns:c16="http://schemas.microsoft.com/office/drawing/2014/chart" uri="{C3380CC4-5D6E-409C-BE32-E72D297353CC}">
              <c16:uniqueId val="{00000003-B845-411B-9A8D-BEE261E7A34E}"/>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Միջին գնաճ</c:v>
                </c:pt>
              </c:strCache>
            </c:strRef>
          </c:tx>
          <c:spPr>
            <a:ln w="25400" cap="rnd">
              <a:solidFill>
                <a:srgbClr val="4472C4">
                  <a:lumMod val="75000"/>
                </a:srgbClr>
              </a:solidFill>
              <a:round/>
            </a:ln>
            <a:effectLst/>
          </c:spPr>
          <c:marker>
            <c:symbol val="none"/>
          </c:marker>
          <c:dPt>
            <c:idx val="7"/>
            <c:bubble3D val="0"/>
            <c:extLst>
              <c:ext xmlns:c16="http://schemas.microsoft.com/office/drawing/2014/chart" uri="{C3380CC4-5D6E-409C-BE32-E72D297353CC}">
                <c16:uniqueId val="{00000004-B845-411B-9A8D-BEE261E7A34E}"/>
              </c:ext>
            </c:extLst>
          </c:dPt>
          <c:dLbls>
            <c:dLbl>
              <c:idx val="0"/>
              <c:layout>
                <c:manualLayout>
                  <c:x val="-6.8664953368399118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845-411B-9A8D-BEE261E7A34E}"/>
                </c:ext>
              </c:extLst>
            </c:dLbl>
            <c:dLbl>
              <c:idx val="1"/>
              <c:layout>
                <c:manualLayout>
                  <c:x val="-7.0579469466877987E-2"/>
                  <c:y val="-7.24167354584709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845-411B-9A8D-BEE261E7A34E}"/>
                </c:ext>
              </c:extLst>
            </c:dLbl>
            <c:dLbl>
              <c:idx val="3"/>
              <c:layout>
                <c:manualLayout>
                  <c:x val="-6.988773055332799E-2"/>
                  <c:y val="-7.74570580391160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845-411B-9A8D-BEE261E7A34E}"/>
                </c:ext>
              </c:extLst>
            </c:dLbl>
            <c:dLbl>
              <c:idx val="4"/>
              <c:layout>
                <c:manualLayout>
                  <c:x val="-7.2674576463828147E-2"/>
                  <c:y val="-2.70538322326644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845-411B-9A8D-BEE261E7A34E}"/>
                </c:ext>
              </c:extLst>
            </c:dLbl>
            <c:dLbl>
              <c:idx val="5"/>
              <c:layout>
                <c:manualLayout>
                  <c:x val="-8.4693342762788171E-2"/>
                  <c:y val="-4.7215122555245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845-411B-9A8D-BEE261E7A34E}"/>
                </c:ext>
              </c:extLst>
            </c:dLbl>
            <c:dLbl>
              <c:idx val="6"/>
              <c:layout>
                <c:manualLayout>
                  <c:x val="-7.4428707638489855E-2"/>
                  <c:y val="-4.72151225552451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845-411B-9A8D-BEE261E7A34E}"/>
                </c:ext>
              </c:extLst>
            </c:dLbl>
            <c:dLbl>
              <c:idx val="7"/>
              <c:layout>
                <c:manualLayout>
                  <c:x val="-6.2399838352202842E-2"/>
                  <c:y val="-3.71344773939547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45-411B-9A8D-BEE261E7A34E}"/>
                </c:ext>
              </c:extLst>
            </c:dLbl>
            <c:dLbl>
              <c:idx val="8"/>
              <c:layout>
                <c:manualLayout>
                  <c:x val="-4.8139156021696168E-2"/>
                  <c:y val="-3.88696183642367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845-411B-9A8D-BEE261E7A34E}"/>
                </c:ext>
              </c:extLst>
            </c:dLbl>
            <c:dLbl>
              <c:idx val="9"/>
              <c:layout>
                <c:manualLayout>
                  <c:x val="-4.0197892264268967E-2"/>
                  <c:y val="-4.8547037719075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845-411B-9A8D-BEE261E7A34E}"/>
                </c:ext>
              </c:extLst>
            </c:dLbl>
            <c:dLbl>
              <c:idx val="10"/>
              <c:layout>
                <c:manualLayout>
                  <c:x val="-4.4739500786138774E-2"/>
                  <c:y val="-5.358736029972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845-411B-9A8D-BEE261E7A34E}"/>
                </c:ext>
              </c:extLst>
            </c:dLbl>
            <c:dLbl>
              <c:idx val="11"/>
              <c:layout>
                <c:manualLayout>
                  <c:x val="-4.7551604164956525E-2"/>
                  <c:y val="-3.79512477774956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845-411B-9A8D-BEE261E7A34E}"/>
                </c:ext>
              </c:extLst>
            </c:dLbl>
            <c:dLbl>
              <c:idx val="12"/>
              <c:layout>
                <c:manualLayout>
                  <c:x val="-0.10119183678623973"/>
                  <c:y val="5.866221107442215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845-411B-9A8D-BEE261E7A34E}"/>
                </c:ext>
              </c:extLst>
            </c:dLbl>
            <c:dLbl>
              <c:idx val="15"/>
              <c:layout>
                <c:manualLayout>
                  <c:x val="-4.6157707632175492E-2"/>
                  <c:y val="-5.358736029972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845-411B-9A8D-BEE261E7A34E}"/>
                </c:ext>
              </c:extLst>
            </c:dLbl>
            <c:dLbl>
              <c:idx val="16"/>
              <c:layout>
                <c:manualLayout>
                  <c:x val="-7.1767833351224039E-2"/>
                  <c:y val="-4.30215948870515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845-411B-9A8D-BEE261E7A34E}"/>
                </c:ext>
              </c:extLst>
            </c:dLbl>
            <c:dLbl>
              <c:idx val="17"/>
              <c:layout>
                <c:manualLayout>
                  <c:x val="-6.1626959821682273E-2"/>
                  <c:y val="-4.7215188685442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845-411B-9A8D-BEE261E7A34E}"/>
                </c:ext>
              </c:extLst>
            </c:dLbl>
            <c:dLbl>
              <c:idx val="18"/>
              <c:layout>
                <c:manualLayout>
                  <c:x val="-5.148103479847712E-2"/>
                  <c:y val="-3.98926355898004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845-411B-9A8D-BEE261E7A34E}"/>
                </c:ext>
              </c:extLst>
            </c:dLbl>
            <c:dLbl>
              <c:idx val="19"/>
              <c:layout>
                <c:manualLayout>
                  <c:x val="-2.0205974654130543E-4"/>
                  <c:y val="-5.89629574014809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845-411B-9A8D-BEE261E7A34E}"/>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Sheet1!$C$2:$C$75</c:f>
              <c:numCache>
                <c:formatCode>0.0</c:formatCode>
                <c:ptCount val="20"/>
                <c:pt idx="0">
                  <c:v>5.2115704999999997</c:v>
                </c:pt>
                <c:pt idx="1">
                  <c:v>5.7474577</c:v>
                </c:pt>
                <c:pt idx="2">
                  <c:v>6.6675324000000007</c:v>
                </c:pt>
                <c:pt idx="3">
                  <c:v>7.2000611000000001</c:v>
                </c:pt>
                <c:pt idx="4">
                  <c:v>6.9785632999999994</c:v>
                </c:pt>
                <c:pt idx="5">
                  <c:v>8.0639306000000008</c:v>
                </c:pt>
                <c:pt idx="6">
                  <c:v>8.5524100000000001</c:v>
                </c:pt>
                <c:pt idx="7">
                  <c:v>8.6354293999999996</c:v>
                </c:pt>
                <c:pt idx="8">
                  <c:v>7.2</c:v>
                </c:pt>
                <c:pt idx="9">
                  <c:v>4.2</c:v>
                </c:pt>
                <c:pt idx="10">
                  <c:v>2.8</c:v>
                </c:pt>
                <c:pt idx="11">
                  <c:v>2</c:v>
                </c:pt>
                <c:pt idx="12">
                  <c:v>-1.2</c:v>
                </c:pt>
                <c:pt idx="13">
                  <c:v>-0.6</c:v>
                </c:pt>
                <c:pt idx="14">
                  <c:v>0</c:v>
                </c:pt>
                <c:pt idx="15">
                  <c:v>0.3</c:v>
                </c:pt>
                <c:pt idx="16">
                  <c:v>2.5</c:v>
                </c:pt>
                <c:pt idx="17">
                  <c:v>3.1</c:v>
                </c:pt>
                <c:pt idx="18">
                  <c:v>3.3</c:v>
                </c:pt>
                <c:pt idx="19">
                  <c:v>3.3</c:v>
                </c:pt>
              </c:numCache>
            </c:numRef>
          </c:val>
          <c:smooth val="0"/>
          <c:extLst>
            <c:ext xmlns:c16="http://schemas.microsoft.com/office/drawing/2014/chart" uri="{C3380CC4-5D6E-409C-BE32-E72D297353CC}">
              <c16:uniqueId val="{00000015-B845-411B-9A8D-BEE261E7A34E}"/>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DFF1-436B-8F2A-977E61531E71}"/>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DFF1-436B-8F2A-977E61531E71}"/>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DFF1-436B-8F2A-977E61531E71}"/>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DFF1-436B-8F2A-977E61531E71}"/>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DFF1-436B-8F2A-977E61531E71}"/>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DFF1-436B-8F2A-977E61531E71}"/>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DFF1-436B-8F2A-977E61531E71}"/>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Sheet1!$C$2:$C$97</c:f>
              <c:numCache>
                <c:formatCode>0.00</c:formatCode>
                <c:ptCount val="60"/>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pt idx="18">
                  <c:v>9.25</c:v>
                </c:pt>
                <c:pt idx="19">
                  <c:v>9.5</c:v>
                </c:pt>
                <c:pt idx="20" formatCode="0.0">
                  <c:v>10</c:v>
                </c:pt>
                <c:pt idx="21" formatCode="0.0">
                  <c:v>10</c:v>
                </c:pt>
                <c:pt idx="22">
                  <c:v>10.483333333333333</c:v>
                </c:pt>
                <c:pt idx="23">
                  <c:v>10.64516129032258</c:v>
                </c:pt>
                <c:pt idx="24">
                  <c:v>10.75</c:v>
                </c:pt>
                <c:pt idx="25">
                  <c:v>10.75</c:v>
                </c:pt>
                <c:pt idx="26">
                  <c:v>10.75</c:v>
                </c:pt>
                <c:pt idx="27">
                  <c:v>10.75</c:v>
                </c:pt>
                <c:pt idx="28">
                  <c:v>10.75</c:v>
                </c:pt>
                <c:pt idx="29">
                  <c:v>10.5</c:v>
                </c:pt>
                <c:pt idx="30">
                  <c:v>10.5</c:v>
                </c:pt>
                <c:pt idx="31">
                  <c:v>10.25</c:v>
                </c:pt>
                <c:pt idx="32">
                  <c:v>9.75</c:v>
                </c:pt>
                <c:pt idx="33">
                  <c:v>9.75</c:v>
                </c:pt>
                <c:pt idx="34">
                  <c:v>9.5</c:v>
                </c:pt>
                <c:pt idx="35">
                  <c:v>9.25</c:v>
                </c:pt>
                <c:pt idx="36">
                  <c:v>8.75</c:v>
                </c:pt>
                <c:pt idx="37">
                  <c:v>8.75</c:v>
                </c:pt>
                <c:pt idx="38">
                  <c:v>8.5</c:v>
                </c:pt>
                <c:pt idx="39">
                  <c:v>8.25</c:v>
                </c:pt>
                <c:pt idx="40">
                  <c:v>8.25</c:v>
                </c:pt>
                <c:pt idx="41">
                  <c:v>8</c:v>
                </c:pt>
                <c:pt idx="42">
                  <c:v>7.75</c:v>
                </c:pt>
                <c:pt idx="43">
                  <c:v>7.75</c:v>
                </c:pt>
                <c:pt idx="44">
                  <c:v>7.5</c:v>
                </c:pt>
                <c:pt idx="45">
                  <c:v>7.25</c:v>
                </c:pt>
                <c:pt idx="46">
                  <c:v>7.25</c:v>
                </c:pt>
                <c:pt idx="47">
                  <c:v>7</c:v>
                </c:pt>
                <c:pt idx="48">
                  <c:v>7</c:v>
                </c:pt>
                <c:pt idx="49">
                  <c:v>6.75</c:v>
                </c:pt>
                <c:pt idx="50">
                  <c:v>6.75</c:v>
                </c:pt>
                <c:pt idx="51">
                  <c:v>6.75</c:v>
                </c:pt>
                <c:pt idx="52">
                  <c:v>6.75</c:v>
                </c:pt>
                <c:pt idx="53">
                  <c:v>6.75</c:v>
                </c:pt>
                <c:pt idx="54">
                  <c:v>6.75</c:v>
                </c:pt>
                <c:pt idx="55">
                  <c:v>6.75</c:v>
                </c:pt>
                <c:pt idx="56">
                  <c:v>6.75</c:v>
                </c:pt>
                <c:pt idx="57">
                  <c:v>6.75</c:v>
                </c:pt>
                <c:pt idx="58">
                  <c:v>6.75</c:v>
                </c:pt>
                <c:pt idx="59">
                  <c:v>6.5</c:v>
                </c:pt>
              </c:numCache>
            </c:numRef>
          </c:val>
          <c:smooth val="0"/>
          <c:extLst>
            <c:ext xmlns:c16="http://schemas.microsoft.com/office/drawing/2014/chart" uri="{C3380CC4-5D6E-409C-BE32-E72D297353CC}">
              <c16:uniqueId val="{00000000-BE51-45F0-A1BB-3A26AB3A9AAD}"/>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Sheet1!$D$2:$D$97</c:f>
            </c:numRef>
          </c:val>
          <c:smooth val="0"/>
          <c:extLst>
            <c:ext xmlns:c16="http://schemas.microsoft.com/office/drawing/2014/chart" uri="{C3380CC4-5D6E-409C-BE32-E72D297353CC}">
              <c16:uniqueId val="{00000001-BE51-45F0-A1BB-3A26AB3A9AAD}"/>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Sheet1!$E$2:$E$97</c:f>
              <c:numCache>
                <c:formatCode>0.0</c:formatCode>
                <c:ptCount val="60"/>
                <c:pt idx="0">
                  <c:v>6.8925232558139538</c:v>
                </c:pt>
                <c:pt idx="1">
                  <c:v>6.8010142857142855</c:v>
                </c:pt>
                <c:pt idx="2">
                  <c:v>6.8712428571428568</c:v>
                </c:pt>
                <c:pt idx="3">
                  <c:v>6.8708857142857145</c:v>
                </c:pt>
                <c:pt idx="4">
                  <c:v>7.0861142857142854</c:v>
                </c:pt>
                <c:pt idx="5">
                  <c:v>7.3503850130953534</c:v>
                </c:pt>
                <c:pt idx="6">
                  <c:v>7.8607287499999998</c:v>
                </c:pt>
                <c:pt idx="7">
                  <c:v>8.2888199999999994</c:v>
                </c:pt>
                <c:pt idx="8">
                  <c:v>8.4334571428571437</c:v>
                </c:pt>
                <c:pt idx="9">
                  <c:v>8.7411909865697641</c:v>
                </c:pt>
                <c:pt idx="10">
                  <c:v>8.9</c:v>
                </c:pt>
                <c:pt idx="11">
                  <c:v>9.0296000000000003</c:v>
                </c:pt>
                <c:pt idx="12">
                  <c:v>9.057884210526316</c:v>
                </c:pt>
                <c:pt idx="13">
                  <c:v>8.99939</c:v>
                </c:pt>
                <c:pt idx="14">
                  <c:v>9.6898681818181824</c:v>
                </c:pt>
                <c:pt idx="15">
                  <c:v>10.165071428571427</c:v>
                </c:pt>
                <c:pt idx="16">
                  <c:v>10.262547619047622</c:v>
                </c:pt>
                <c:pt idx="17">
                  <c:v>10.307509090909091</c:v>
                </c:pt>
                <c:pt idx="18">
                  <c:v>10.428950000000002</c:v>
                </c:pt>
                <c:pt idx="19">
                  <c:v>10.479456521739131</c:v>
                </c:pt>
                <c:pt idx="20">
                  <c:v>10.583795238095238</c:v>
                </c:pt>
                <c:pt idx="21">
                  <c:v>11.060600000000001</c:v>
                </c:pt>
                <c:pt idx="22">
                  <c:v>11.411</c:v>
                </c:pt>
                <c:pt idx="23">
                  <c:v>11.7258</c:v>
                </c:pt>
                <c:pt idx="24">
                  <c:v>11.622784999999997</c:v>
                </c:pt>
                <c:pt idx="25">
                  <c:v>11.471364999999997</c:v>
                </c:pt>
                <c:pt idx="26">
                  <c:v>11.59599090909091</c:v>
                </c:pt>
                <c:pt idx="27">
                  <c:v>11.638299999999999</c:v>
                </c:pt>
                <c:pt idx="28">
                  <c:v>11.352</c:v>
                </c:pt>
                <c:pt idx="29">
                  <c:v>11.119063636363636</c:v>
                </c:pt>
                <c:pt idx="30">
                  <c:v>11.074404999999997</c:v>
                </c:pt>
                <c:pt idx="31">
                  <c:v>10.690721739130435</c:v>
                </c:pt>
                <c:pt idx="32">
                  <c:v>10.312649999999998</c:v>
                </c:pt>
                <c:pt idx="33">
                  <c:v>10.444277272727273</c:v>
                </c:pt>
                <c:pt idx="34">
                  <c:v>10.406086363636364</c:v>
                </c:pt>
                <c:pt idx="35">
                  <c:v>10.537519047619048</c:v>
                </c:pt>
                <c:pt idx="36">
                  <c:v>10.598219047619049</c:v>
                </c:pt>
                <c:pt idx="37">
                  <c:v>10.203671428571429</c:v>
                </c:pt>
                <c:pt idx="38">
                  <c:v>9.6918150000000018</c:v>
                </c:pt>
                <c:pt idx="39">
                  <c:v>9.5597904761904751</c:v>
                </c:pt>
                <c:pt idx="40">
                  <c:v>9.4342949999999988</c:v>
                </c:pt>
                <c:pt idx="41">
                  <c:v>9.2490199999999998</c:v>
                </c:pt>
                <c:pt idx="42">
                  <c:v>9.0509590909090907</c:v>
                </c:pt>
                <c:pt idx="43">
                  <c:v>9.0829772727272715</c:v>
                </c:pt>
                <c:pt idx="44">
                  <c:v>9.1222571428571442</c:v>
                </c:pt>
                <c:pt idx="45">
                  <c:v>9.0515521739130413</c:v>
                </c:pt>
                <c:pt idx="46">
                  <c:v>9.0151857142857139</c:v>
                </c:pt>
                <c:pt idx="47">
                  <c:v>8.9560380952380942</c:v>
                </c:pt>
                <c:pt idx="48">
                  <c:v>8.7807684210526311</c:v>
                </c:pt>
                <c:pt idx="49">
                  <c:v>8.4206950000000003</c:v>
                </c:pt>
                <c:pt idx="50">
                  <c:v>8.4217999999999993</c:v>
                </c:pt>
                <c:pt idx="51">
                  <c:v>8.4203428571428578</c:v>
                </c:pt>
                <c:pt idx="52">
                  <c:v>8.3099999999999987</c:v>
                </c:pt>
                <c:pt idx="53">
                  <c:v>8.2200523809523798</c:v>
                </c:pt>
                <c:pt idx="54">
                  <c:v>8.2384695652173914</c:v>
                </c:pt>
                <c:pt idx="55">
                  <c:v>8.3040857142857156</c:v>
                </c:pt>
                <c:pt idx="56">
                  <c:v>8.1961272727272743</c:v>
                </c:pt>
                <c:pt idx="57">
                  <c:v>7.9496521739130426</c:v>
                </c:pt>
                <c:pt idx="58">
                  <c:v>7.6970749999999999</c:v>
                </c:pt>
                <c:pt idx="59">
                  <c:v>7.4777772727272716</c:v>
                </c:pt>
              </c:numCache>
            </c:numRef>
          </c:val>
          <c:smooth val="0"/>
          <c:extLst>
            <c:ext xmlns:c16="http://schemas.microsoft.com/office/drawing/2014/chart" uri="{C3380CC4-5D6E-409C-BE32-E72D297353CC}">
              <c16:uniqueId val="{00000002-BE51-45F0-A1BB-3A26AB3A9AAD}"/>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Sheet1!$F$2:$F$97</c:f>
              <c:numCache>
                <c:formatCode>0.0</c:formatCode>
                <c:ptCount val="60"/>
                <c:pt idx="0">
                  <c:v>9.1305357142857151</c:v>
                </c:pt>
                <c:pt idx="1">
                  <c:v>8.7364000000000015</c:v>
                </c:pt>
                <c:pt idx="2">
                  <c:v>8.8150272727272725</c:v>
                </c:pt>
                <c:pt idx="3">
                  <c:v>8.9161227272727253</c:v>
                </c:pt>
                <c:pt idx="4">
                  <c:v>9.0098500000000001</c:v>
                </c:pt>
                <c:pt idx="5">
                  <c:v>9.0018772727272722</c:v>
                </c:pt>
                <c:pt idx="6">
                  <c:v>9.2964285714285708</c:v>
                </c:pt>
                <c:pt idx="7">
                  <c:v>9.612345454545455</c:v>
                </c:pt>
                <c:pt idx="8">
                  <c:v>10.014661904761903</c:v>
                </c:pt>
                <c:pt idx="9">
                  <c:v>10.005904761904763</c:v>
                </c:pt>
                <c:pt idx="10">
                  <c:v>10.029559090909091</c:v>
                </c:pt>
                <c:pt idx="11">
                  <c:v>10.023227272727274</c:v>
                </c:pt>
                <c:pt idx="12">
                  <c:v>10.097063157894738</c:v>
                </c:pt>
                <c:pt idx="13">
                  <c:v>10.036735000000002</c:v>
                </c:pt>
                <c:pt idx="14">
                  <c:v>10.728454545454547</c:v>
                </c:pt>
                <c:pt idx="15">
                  <c:v>11.249590476190477</c:v>
                </c:pt>
                <c:pt idx="16">
                  <c:v>11.120128571428571</c:v>
                </c:pt>
                <c:pt idx="17">
                  <c:v>11.198654545454545</c:v>
                </c:pt>
                <c:pt idx="18">
                  <c:v>11.361525</c:v>
                </c:pt>
                <c:pt idx="19">
                  <c:v>11.365604347826087</c:v>
                </c:pt>
                <c:pt idx="20">
                  <c:v>11.536523809523809</c:v>
                </c:pt>
                <c:pt idx="21">
                  <c:v>11.867000000000001</c:v>
                </c:pt>
                <c:pt idx="22">
                  <c:v>12.027100000000001</c:v>
                </c:pt>
                <c:pt idx="23">
                  <c:v>11.9946</c:v>
                </c:pt>
                <c:pt idx="24">
                  <c:v>11.776389999999999</c:v>
                </c:pt>
                <c:pt idx="25">
                  <c:v>11.618069999999999</c:v>
                </c:pt>
                <c:pt idx="26">
                  <c:v>11.707554545454544</c:v>
                </c:pt>
                <c:pt idx="27">
                  <c:v>11.611273684210525</c:v>
                </c:pt>
                <c:pt idx="28">
                  <c:v>11.313780952380954</c:v>
                </c:pt>
                <c:pt idx="29">
                  <c:v>10.890645454545453</c:v>
                </c:pt>
                <c:pt idx="30">
                  <c:v>10.690165</c:v>
                </c:pt>
                <c:pt idx="31">
                  <c:v>10.407113043478262</c:v>
                </c:pt>
                <c:pt idx="32">
                  <c:v>10.219114999999999</c:v>
                </c:pt>
                <c:pt idx="33">
                  <c:v>10.363563636363638</c:v>
                </c:pt>
                <c:pt idx="34">
                  <c:v>10.604459090909092</c:v>
                </c:pt>
                <c:pt idx="35">
                  <c:v>10.752557142857144</c:v>
                </c:pt>
                <c:pt idx="36">
                  <c:v>10.706314285714289</c:v>
                </c:pt>
                <c:pt idx="37">
                  <c:v>10.151619047619047</c:v>
                </c:pt>
                <c:pt idx="38">
                  <c:v>9.7728300000000008</c:v>
                </c:pt>
                <c:pt idx="39">
                  <c:v>9.6768571428571448</c:v>
                </c:pt>
                <c:pt idx="40">
                  <c:v>9.6871050000000007</c:v>
                </c:pt>
                <c:pt idx="41">
                  <c:v>9.6936650000000011</c:v>
                </c:pt>
                <c:pt idx="42">
                  <c:v>9.7028500000000015</c:v>
                </c:pt>
                <c:pt idx="43">
                  <c:v>9.7344181818181834</c:v>
                </c:pt>
                <c:pt idx="44">
                  <c:v>9.7281238095238081</c:v>
                </c:pt>
                <c:pt idx="45">
                  <c:v>9.8332913043478261</c:v>
                </c:pt>
                <c:pt idx="46">
                  <c:v>9.8554571428571442</c:v>
                </c:pt>
                <c:pt idx="47">
                  <c:v>9.8331666666666671</c:v>
                </c:pt>
                <c:pt idx="48">
                  <c:v>9.8650999999999982</c:v>
                </c:pt>
                <c:pt idx="49">
                  <c:v>9.7879499999999986</c:v>
                </c:pt>
                <c:pt idx="50">
                  <c:v>9.6925047619047628</c:v>
                </c:pt>
                <c:pt idx="51">
                  <c:v>9.7252285714285716</c:v>
                </c:pt>
                <c:pt idx="52">
                  <c:v>9.7030263157894723</c:v>
                </c:pt>
                <c:pt idx="53">
                  <c:v>9.7544285714285692</c:v>
                </c:pt>
                <c:pt idx="54">
                  <c:v>9.8545391304347838</c:v>
                </c:pt>
                <c:pt idx="55">
                  <c:v>9.8118047619047619</c:v>
                </c:pt>
                <c:pt idx="56">
                  <c:v>9.6259636363636378</c:v>
                </c:pt>
                <c:pt idx="57">
                  <c:v>9.4875826086956536</c:v>
                </c:pt>
                <c:pt idx="58">
                  <c:v>8.8498099999999997</c:v>
                </c:pt>
                <c:pt idx="59">
                  <c:v>8.7264500000000016</c:v>
                </c:pt>
              </c:numCache>
            </c:numRef>
          </c:val>
          <c:smooth val="0"/>
          <c:extLst>
            <c:ext xmlns:c16="http://schemas.microsoft.com/office/drawing/2014/chart" uri="{C3380CC4-5D6E-409C-BE32-E72D297353CC}">
              <c16:uniqueId val="{00000003-BE51-45F0-A1BB-3A26AB3A9AAD}"/>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Sheet1!$G$2:$G$97</c:f>
              <c:numCache>
                <c:formatCode>0.0</c:formatCode>
                <c:ptCount val="60"/>
                <c:pt idx="0">
                  <c:v>11.549209942466879</c:v>
                </c:pt>
                <c:pt idx="1">
                  <c:v>12.265284498474417</c:v>
                </c:pt>
                <c:pt idx="2">
                  <c:v>11.961990666081375</c:v>
                </c:pt>
                <c:pt idx="3">
                  <c:v>11.697603968729714</c:v>
                </c:pt>
                <c:pt idx="4">
                  <c:v>11.46349671816964</c:v>
                </c:pt>
                <c:pt idx="5">
                  <c:v>10.411636000567436</c:v>
                </c:pt>
                <c:pt idx="6">
                  <c:v>11.825994181857787</c:v>
                </c:pt>
                <c:pt idx="7">
                  <c:v>11.937044148439007</c:v>
                </c:pt>
                <c:pt idx="8">
                  <c:v>12.208102534160609</c:v>
                </c:pt>
                <c:pt idx="9">
                  <c:v>11.779293223642544</c:v>
                </c:pt>
                <c:pt idx="10">
                  <c:v>11.765812609481552</c:v>
                </c:pt>
                <c:pt idx="11">
                  <c:v>12.277436640171302</c:v>
                </c:pt>
                <c:pt idx="12">
                  <c:v>12.136173486114288</c:v>
                </c:pt>
                <c:pt idx="13">
                  <c:v>12.219833307639213</c:v>
                </c:pt>
                <c:pt idx="14">
                  <c:v>12.491087907189435</c:v>
                </c:pt>
                <c:pt idx="15">
                  <c:v>11.489323502789608</c:v>
                </c:pt>
                <c:pt idx="16">
                  <c:v>11.536903872779591</c:v>
                </c:pt>
                <c:pt idx="17">
                  <c:v>11.274733470496635</c:v>
                </c:pt>
                <c:pt idx="18">
                  <c:v>11.699386745104745</c:v>
                </c:pt>
                <c:pt idx="19">
                  <c:v>11.535369601703893</c:v>
                </c:pt>
                <c:pt idx="20">
                  <c:v>11.773619839763745</c:v>
                </c:pt>
                <c:pt idx="21">
                  <c:v>11.725462493526342</c:v>
                </c:pt>
                <c:pt idx="22">
                  <c:v>11.090510930662978</c:v>
                </c:pt>
                <c:pt idx="23">
                  <c:v>12.026777148567596</c:v>
                </c:pt>
                <c:pt idx="24">
                  <c:v>11.758733642189338</c:v>
                </c:pt>
                <c:pt idx="25">
                  <c:v>11.81813621014304</c:v>
                </c:pt>
                <c:pt idx="26">
                  <c:v>12.280686192171711</c:v>
                </c:pt>
                <c:pt idx="27">
                  <c:v>13.128028635271743</c:v>
                </c:pt>
                <c:pt idx="28">
                  <c:v>12.600028383172315</c:v>
                </c:pt>
                <c:pt idx="29">
                  <c:v>12.139632381709292</c:v>
                </c:pt>
                <c:pt idx="30">
                  <c:v>12.29666154156954</c:v>
                </c:pt>
                <c:pt idx="31">
                  <c:v>12.328377353012261</c:v>
                </c:pt>
                <c:pt idx="32">
                  <c:v>12.732583194951411</c:v>
                </c:pt>
                <c:pt idx="33">
                  <c:v>12.336272171099267</c:v>
                </c:pt>
                <c:pt idx="34">
                  <c:v>12.701744746093986</c:v>
                </c:pt>
                <c:pt idx="35">
                  <c:v>12.501984365787607</c:v>
                </c:pt>
                <c:pt idx="36">
                  <c:v>12.7588268289648</c:v>
                </c:pt>
                <c:pt idx="37">
                  <c:v>13.165103884880343</c:v>
                </c:pt>
                <c:pt idx="38">
                  <c:v>12.283746075334658</c:v>
                </c:pt>
                <c:pt idx="39">
                  <c:v>12.500070931752306</c:v>
                </c:pt>
                <c:pt idx="40">
                  <c:v>12.859224711990501</c:v>
                </c:pt>
                <c:pt idx="41">
                  <c:v>12.921482369357351</c:v>
                </c:pt>
                <c:pt idx="42">
                  <c:v>13.798832553149152</c:v>
                </c:pt>
                <c:pt idx="43">
                  <c:v>13.365097498508602</c:v>
                </c:pt>
                <c:pt idx="44">
                  <c:v>13.681483408895364</c:v>
                </c:pt>
                <c:pt idx="45">
                  <c:v>13.751132907644719</c:v>
                </c:pt>
                <c:pt idx="46">
                  <c:v>13.408863578162219</c:v>
                </c:pt>
                <c:pt idx="47">
                  <c:v>13.169240186844304</c:v>
                </c:pt>
                <c:pt idx="48">
                  <c:v>12.995773322950253</c:v>
                </c:pt>
                <c:pt idx="49">
                  <c:v>13.881112858405945</c:v>
                </c:pt>
                <c:pt idx="50">
                  <c:v>14.167413604676916</c:v>
                </c:pt>
                <c:pt idx="51">
                  <c:v>14.022044422510952</c:v>
                </c:pt>
                <c:pt idx="52">
                  <c:v>13.990425436100152</c:v>
                </c:pt>
                <c:pt idx="53">
                  <c:v>13.256688893104567</c:v>
                </c:pt>
                <c:pt idx="54">
                  <c:v>13.811876927163123</c:v>
                </c:pt>
                <c:pt idx="55">
                  <c:v>14.179877992367246</c:v>
                </c:pt>
                <c:pt idx="56">
                  <c:v>13.685277985035899</c:v>
                </c:pt>
                <c:pt idx="57">
                  <c:v>13.912783529967479</c:v>
                </c:pt>
                <c:pt idx="58">
                  <c:v>13.888225890614899</c:v>
                </c:pt>
                <c:pt idx="59">
                  <c:v>13.601499888389956</c:v>
                </c:pt>
              </c:numCache>
            </c:numRef>
          </c:val>
          <c:smooth val="0"/>
          <c:extLst>
            <c:ext xmlns:c16="http://schemas.microsoft.com/office/drawing/2014/chart" uri="{C3380CC4-5D6E-409C-BE32-E72D297353CC}">
              <c16:uniqueId val="{00000004-BE51-45F0-A1BB-3A26AB3A9AAD}"/>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Sheet1!$H$2:$H$97</c:f>
              <c:numCache>
                <c:formatCode>0.0</c:formatCode>
                <c:ptCount val="60"/>
                <c:pt idx="0">
                  <c:v>8.3431898134069336</c:v>
                </c:pt>
                <c:pt idx="1">
                  <c:v>8.1845675016329267</c:v>
                </c:pt>
                <c:pt idx="2">
                  <c:v>7.7422870380906073</c:v>
                </c:pt>
                <c:pt idx="3">
                  <c:v>8.258143495890641</c:v>
                </c:pt>
                <c:pt idx="4">
                  <c:v>8.336376778540556</c:v>
                </c:pt>
                <c:pt idx="5">
                  <c:v>8.0158616246163845</c:v>
                </c:pt>
                <c:pt idx="6">
                  <c:v>8.3801246219086263</c:v>
                </c:pt>
                <c:pt idx="7">
                  <c:v>8.4231469612643615</c:v>
                </c:pt>
                <c:pt idx="8">
                  <c:v>8.2773469777009598</c:v>
                </c:pt>
                <c:pt idx="9">
                  <c:v>8.4296232065051928</c:v>
                </c:pt>
                <c:pt idx="10">
                  <c:v>8.2398175292211864</c:v>
                </c:pt>
                <c:pt idx="11">
                  <c:v>8.2678332122473623</c:v>
                </c:pt>
                <c:pt idx="12">
                  <c:v>8.3938267500377108</c:v>
                </c:pt>
                <c:pt idx="13">
                  <c:v>8.5417269393471607</c:v>
                </c:pt>
                <c:pt idx="14">
                  <c:v>9.2964040296125265</c:v>
                </c:pt>
                <c:pt idx="15">
                  <c:v>9.210710627688707</c:v>
                </c:pt>
                <c:pt idx="16">
                  <c:v>8.4604892202941926</c:v>
                </c:pt>
                <c:pt idx="17">
                  <c:v>8.1287571727719037</c:v>
                </c:pt>
                <c:pt idx="18">
                  <c:v>8.0137945266574295</c:v>
                </c:pt>
                <c:pt idx="19">
                  <c:v>8.1901082208958194</c:v>
                </c:pt>
                <c:pt idx="20">
                  <c:v>7.6374793222786144</c:v>
                </c:pt>
                <c:pt idx="21">
                  <c:v>8.342940111802875</c:v>
                </c:pt>
                <c:pt idx="22">
                  <c:v>8.5430354373300954</c:v>
                </c:pt>
                <c:pt idx="23">
                  <c:v>8.6201560403887179</c:v>
                </c:pt>
                <c:pt idx="24">
                  <c:v>8.4331002640766979</c:v>
                </c:pt>
                <c:pt idx="25">
                  <c:v>8.2394822623711086</c:v>
                </c:pt>
                <c:pt idx="26">
                  <c:v>8.1887607485517133</c:v>
                </c:pt>
                <c:pt idx="27">
                  <c:v>8.4900096103328373</c:v>
                </c:pt>
                <c:pt idx="28">
                  <c:v>8.2829882240962576</c:v>
                </c:pt>
                <c:pt idx="29">
                  <c:v>8.3546599768074685</c:v>
                </c:pt>
                <c:pt idx="30">
                  <c:v>8.2260766425836156</c:v>
                </c:pt>
                <c:pt idx="31">
                  <c:v>8.5697196129785382</c:v>
                </c:pt>
                <c:pt idx="32">
                  <c:v>8.6042796009191385</c:v>
                </c:pt>
                <c:pt idx="33">
                  <c:v>8.2324457486376996</c:v>
                </c:pt>
                <c:pt idx="34">
                  <c:v>8.5751148906728716</c:v>
                </c:pt>
                <c:pt idx="35">
                  <c:v>8.1553455505810319</c:v>
                </c:pt>
                <c:pt idx="36">
                  <c:v>8.0531299745367129</c:v>
                </c:pt>
                <c:pt idx="37">
                  <c:v>7.8427115715895388</c:v>
                </c:pt>
                <c:pt idx="38">
                  <c:v>8.034297791459613</c:v>
                </c:pt>
                <c:pt idx="39">
                  <c:v>8.433938952219318</c:v>
                </c:pt>
                <c:pt idx="40">
                  <c:v>8.430409859886856</c:v>
                </c:pt>
                <c:pt idx="41">
                  <c:v>8.2522694553656422</c:v>
                </c:pt>
                <c:pt idx="42">
                  <c:v>8.3313667312712294</c:v>
                </c:pt>
                <c:pt idx="43">
                  <c:v>8.1553933935451006</c:v>
                </c:pt>
                <c:pt idx="44">
                  <c:v>8.0044997993279665</c:v>
                </c:pt>
                <c:pt idx="45">
                  <c:v>8.0584137574234731</c:v>
                </c:pt>
                <c:pt idx="46">
                  <c:v>8.0223985298290277</c:v>
                </c:pt>
                <c:pt idx="47">
                  <c:v>8.160990693987765</c:v>
                </c:pt>
                <c:pt idx="48">
                  <c:v>8.1083740403946027</c:v>
                </c:pt>
                <c:pt idx="49">
                  <c:v>7.6905678384503178</c:v>
                </c:pt>
                <c:pt idx="50">
                  <c:v>7.9767278143666722</c:v>
                </c:pt>
                <c:pt idx="51">
                  <c:v>8.1880411253857464</c:v>
                </c:pt>
                <c:pt idx="52">
                  <c:v>7.8569746857992389</c:v>
                </c:pt>
                <c:pt idx="53">
                  <c:v>8.049414257282157</c:v>
                </c:pt>
                <c:pt idx="54">
                  <c:v>7.8943102513264574</c:v>
                </c:pt>
                <c:pt idx="55">
                  <c:v>8.396103656557921</c:v>
                </c:pt>
                <c:pt idx="56">
                  <c:v>7.862985891185688</c:v>
                </c:pt>
                <c:pt idx="57">
                  <c:v>7.9755958178952939</c:v>
                </c:pt>
                <c:pt idx="58">
                  <c:v>8.1327849923414988</c:v>
                </c:pt>
                <c:pt idx="59">
                  <c:v>8.2019302884386747</c:v>
                </c:pt>
              </c:numCache>
            </c:numRef>
          </c:val>
          <c:smooth val="0"/>
          <c:extLst>
            <c:ext xmlns:c16="http://schemas.microsoft.com/office/drawing/2014/chart" uri="{C3380CC4-5D6E-409C-BE32-E72D297353CC}">
              <c16:uniqueId val="{00000005-BE51-45F0-A1BB-3A26AB3A9AAD}"/>
            </c:ext>
          </c:extLst>
        </c:ser>
        <c:ser>
          <c:idx val="6"/>
          <c:order val="6"/>
          <c:tx>
            <c:strRef>
              <c:f>Sheet1!$I$1</c:f>
              <c:strCache>
                <c:ptCount val="1"/>
                <c:pt idx="0">
                  <c:v>Վարկեր, 1տ. ավելի</c:v>
                </c:pt>
              </c:strCache>
            </c:strRef>
          </c:tx>
          <c:spPr>
            <a:ln>
              <a:solidFill>
                <a:srgbClr val="9BBB59">
                  <a:lumMod val="75000"/>
                </a:srgbClr>
              </a:solidFill>
            </a:ln>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Sheet1!$I$38:$I$97</c:f>
              <c:numCache>
                <c:formatCode>0.0</c:formatCode>
                <c:ptCount val="60"/>
                <c:pt idx="0">
                  <c:v>12.749023813084914</c:v>
                </c:pt>
                <c:pt idx="1">
                  <c:v>12.840711578443582</c:v>
                </c:pt>
                <c:pt idx="2">
                  <c:v>12.869949938358154</c:v>
                </c:pt>
                <c:pt idx="3">
                  <c:v>12.5071653844848</c:v>
                </c:pt>
                <c:pt idx="4">
                  <c:v>12.75873142171114</c:v>
                </c:pt>
                <c:pt idx="5">
                  <c:v>12.714417822560302</c:v>
                </c:pt>
                <c:pt idx="6">
                  <c:v>12.961543969124437</c:v>
                </c:pt>
                <c:pt idx="7">
                  <c:v>13.006337073170657</c:v>
                </c:pt>
                <c:pt idx="8">
                  <c:v>12.822964470987577</c:v>
                </c:pt>
                <c:pt idx="9">
                  <c:v>12.673193257199738</c:v>
                </c:pt>
                <c:pt idx="10">
                  <c:v>12.802664462107185</c:v>
                </c:pt>
                <c:pt idx="11">
                  <c:v>12.178339035968762</c:v>
                </c:pt>
                <c:pt idx="12">
                  <c:v>13.100047231115809</c:v>
                </c:pt>
                <c:pt idx="13">
                  <c:v>13.106444709635548</c:v>
                </c:pt>
                <c:pt idx="14">
                  <c:v>13.541265546684542</c:v>
                </c:pt>
                <c:pt idx="15">
                  <c:v>13.636449032963466</c:v>
                </c:pt>
                <c:pt idx="16">
                  <c:v>13.781091502389664</c:v>
                </c:pt>
                <c:pt idx="17">
                  <c:v>13.56729080324285</c:v>
                </c:pt>
                <c:pt idx="18">
                  <c:v>13.797200180599493</c:v>
                </c:pt>
                <c:pt idx="19">
                  <c:v>13.755344702075888</c:v>
                </c:pt>
                <c:pt idx="20">
                  <c:v>14.125649771225644</c:v>
                </c:pt>
                <c:pt idx="21">
                  <c:v>14.053736765033349</c:v>
                </c:pt>
                <c:pt idx="22">
                  <c:v>14.510685134381557</c:v>
                </c:pt>
                <c:pt idx="23">
                  <c:v>14.449935538652094</c:v>
                </c:pt>
                <c:pt idx="24">
                  <c:v>15.093632338319845</c:v>
                </c:pt>
                <c:pt idx="25">
                  <c:v>15.118151443950016</c:v>
                </c:pt>
                <c:pt idx="26">
                  <c:v>14.854394736672436</c:v>
                </c:pt>
                <c:pt idx="27">
                  <c:v>14.600576738784303</c:v>
                </c:pt>
                <c:pt idx="28">
                  <c:v>14.792740569200316</c:v>
                </c:pt>
                <c:pt idx="29">
                  <c:v>14.636406598355801</c:v>
                </c:pt>
                <c:pt idx="30">
                  <c:v>15.177906636906426</c:v>
                </c:pt>
                <c:pt idx="31">
                  <c:v>15.077989241967034</c:v>
                </c:pt>
                <c:pt idx="32">
                  <c:v>14.762753247485676</c:v>
                </c:pt>
                <c:pt idx="33">
                  <c:v>14.565054043040073</c:v>
                </c:pt>
                <c:pt idx="34">
                  <c:v>14.967138820609486</c:v>
                </c:pt>
                <c:pt idx="35">
                  <c:v>14.60569419655617</c:v>
                </c:pt>
                <c:pt idx="36">
                  <c:v>15.034765877009091</c:v>
                </c:pt>
                <c:pt idx="37">
                  <c:v>15.050819459519163</c:v>
                </c:pt>
                <c:pt idx="38">
                  <c:v>15.176359911765402</c:v>
                </c:pt>
                <c:pt idx="39">
                  <c:v>15.325369623042523</c:v>
                </c:pt>
                <c:pt idx="40">
                  <c:v>15.025939127388952</c:v>
                </c:pt>
                <c:pt idx="41">
                  <c:v>14.841275506490986</c:v>
                </c:pt>
                <c:pt idx="42">
                  <c:v>14.902033787916332</c:v>
                </c:pt>
                <c:pt idx="43">
                  <c:v>15.199670916600445</c:v>
                </c:pt>
                <c:pt idx="44">
                  <c:v>15.028614446473449</c:v>
                </c:pt>
                <c:pt idx="45">
                  <c:v>14.673210683825696</c:v>
                </c:pt>
                <c:pt idx="46">
                  <c:v>14.83410551824513</c:v>
                </c:pt>
                <c:pt idx="47">
                  <c:v>14.597805713209913</c:v>
                </c:pt>
                <c:pt idx="48">
                  <c:v>15.712493424569367</c:v>
                </c:pt>
                <c:pt idx="49">
                  <c:v>15.274015531512989</c:v>
                </c:pt>
                <c:pt idx="50">
                  <c:v>15.344944527974857</c:v>
                </c:pt>
                <c:pt idx="51">
                  <c:v>15.443132207470205</c:v>
                </c:pt>
                <c:pt idx="52">
                  <c:v>15.243140261630327</c:v>
                </c:pt>
                <c:pt idx="53">
                  <c:v>15.076227000886634</c:v>
                </c:pt>
                <c:pt idx="54">
                  <c:v>15.233409457238826</c:v>
                </c:pt>
                <c:pt idx="55">
                  <c:v>15.369410706755277</c:v>
                </c:pt>
                <c:pt idx="56">
                  <c:v>15.794747043184458</c:v>
                </c:pt>
                <c:pt idx="57">
                  <c:v>15.792372189850944</c:v>
                </c:pt>
                <c:pt idx="58">
                  <c:v>15.446481493353582</c:v>
                </c:pt>
                <c:pt idx="59">
                  <c:v>15.371193070362189</c:v>
                </c:pt>
              </c:numCache>
            </c:numRef>
          </c:val>
          <c:smooth val="0"/>
          <c:extLst>
            <c:ext xmlns:c16="http://schemas.microsoft.com/office/drawing/2014/chart" uri="{C3380CC4-5D6E-409C-BE32-E72D297353CC}">
              <c16:uniqueId val="{00000006-BE51-45F0-A1BB-3A26AB3A9AAD}"/>
            </c:ext>
          </c:extLst>
        </c:ser>
        <c:dLbls>
          <c:showLegendKey val="0"/>
          <c:showVal val="0"/>
          <c:showCatName val="0"/>
          <c:showSerName val="0"/>
          <c:showPercent val="0"/>
          <c:showBubbleSize val="0"/>
        </c:dLbls>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a:ln>
                  <a:noFill/>
                </a:ln>
                <a:solidFill>
                  <a:schemeClr val="tx1">
                    <a:lumMod val="75000"/>
                    <a:lumOff val="25000"/>
                  </a:schemeClr>
                </a:solidFill>
              </a:defRPr>
            </a:pPr>
            <a:endParaRPr lang="en-US"/>
          </a:p>
        </c:txPr>
        <c:crossAx val="340275584"/>
        <c:crosses val="autoZero"/>
        <c:auto val="1"/>
        <c:lblAlgn val="ctr"/>
        <c:lblOffset val="100"/>
        <c:noMultiLvlLbl val="0"/>
      </c:catAx>
      <c:valAx>
        <c:axId val="340275584"/>
        <c:scaling>
          <c:orientation val="minMax"/>
          <c:max val="16"/>
          <c:min val="4"/>
        </c:scaling>
        <c:delete val="0"/>
        <c:axPos val="l"/>
        <c:majorGridlines>
          <c:spPr>
            <a:ln>
              <a:solidFill>
                <a:sysClr val="window" lastClr="FFFFFF">
                  <a:lumMod val="85000"/>
                </a:sysClr>
              </a:solidFill>
            </a:ln>
          </c:spPr>
        </c:majorGridlines>
        <c:numFmt formatCode="0" sourceLinked="0"/>
        <c:majorTickMark val="none"/>
        <c:minorTickMark val="none"/>
        <c:tickLblPos val="nextTo"/>
        <c:spPr>
          <a:noFill/>
          <a:ln>
            <a:noFill/>
          </a:ln>
          <a:effectLst/>
        </c:spPr>
        <c:txPr>
          <a:bodyPr rot="-60000000" vert="horz"/>
          <a:lstStyle/>
          <a:p>
            <a:pPr>
              <a:defRPr sz="900"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ayout>
        <c:manualLayout>
          <c:xMode val="edge"/>
          <c:yMode val="edge"/>
          <c:x val="2.3400191021967526E-2"/>
          <c:y val="0.796941808129497"/>
          <c:w val="0.91863703703703703"/>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6241336358378935"/>
        </c:manualLayout>
      </c:layout>
      <c:barChart>
        <c:barDir val="col"/>
        <c:grouping val="stacked"/>
        <c:varyColors val="0"/>
        <c:ser>
          <c:idx val="1"/>
          <c:order val="0"/>
          <c:tx>
            <c:strRef>
              <c:f>Sheet1!$A$2</c:f>
              <c:strCache>
                <c:ptCount val="1"/>
                <c:pt idx="0">
                  <c:v>Ապրանքների հաշվեկշիռ</c:v>
                </c:pt>
              </c:strCache>
            </c:strRef>
          </c:tx>
          <c:spPr>
            <a:solidFill>
              <a:schemeClr val="bg1">
                <a:lumMod val="65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0.0</c:formatCode>
                <c:ptCount val="5"/>
                <c:pt idx="0">
                  <c:v>-10.842128104810961</c:v>
                </c:pt>
                <c:pt idx="1">
                  <c:v>-9.2388798677902333</c:v>
                </c:pt>
                <c:pt idx="2">
                  <c:v>-10.038482990216316</c:v>
                </c:pt>
                <c:pt idx="3">
                  <c:v>-8.4567965206897604</c:v>
                </c:pt>
                <c:pt idx="4">
                  <c:v>-10.461564423785813</c:v>
                </c:pt>
              </c:numCache>
            </c:numRef>
          </c:val>
          <c:extLst>
            <c:ext xmlns:c16="http://schemas.microsoft.com/office/drawing/2014/chart" uri="{C3380CC4-5D6E-409C-BE32-E72D297353CC}">
              <c16:uniqueId val="{00000000-08E6-4037-B619-0D5EB038C244}"/>
            </c:ext>
          </c:extLst>
        </c:ser>
        <c:ser>
          <c:idx val="2"/>
          <c:order val="2"/>
          <c:tx>
            <c:strRef>
              <c:f>Sheet1!$A$4</c:f>
              <c:strCache>
                <c:ptCount val="1"/>
                <c:pt idx="0">
                  <c:v>Ծառայությունների հաշվեկշիռ</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0.0</c:formatCode>
                <c:ptCount val="5"/>
                <c:pt idx="0">
                  <c:v>2.8065688856019477</c:v>
                </c:pt>
                <c:pt idx="1">
                  <c:v>8.7270139674166547</c:v>
                </c:pt>
                <c:pt idx="2">
                  <c:v>8.6183738004135435</c:v>
                </c:pt>
                <c:pt idx="3">
                  <c:v>5.6376730143064684</c:v>
                </c:pt>
                <c:pt idx="4">
                  <c:v>5.0308903740017463</c:v>
                </c:pt>
              </c:numCache>
            </c:numRef>
          </c:val>
          <c:extLst>
            <c:ext xmlns:c16="http://schemas.microsoft.com/office/drawing/2014/chart" uri="{C3380CC4-5D6E-409C-BE32-E72D297353CC}">
              <c16:uniqueId val="{00000001-08E6-4037-B619-0D5EB038C244}"/>
            </c:ext>
          </c:extLst>
        </c:ser>
        <c:ser>
          <c:idx val="3"/>
          <c:order val="3"/>
          <c:tx>
            <c:strRef>
              <c:f>Sheet1!$A$5</c:f>
              <c:strCache>
                <c:ptCount val="1"/>
                <c:pt idx="0">
                  <c:v>Սկզբնական եկամուտներ, զուտ</c:v>
                </c:pt>
              </c:strCache>
            </c:strRef>
          </c:tx>
          <c:spPr>
            <a:solidFill>
              <a:srgbClr val="4F81BD"/>
            </a:solidFill>
            <a:ln w="25375">
              <a:noFill/>
            </a:ln>
          </c:spPr>
          <c:invertIfNegative val="0"/>
          <c:cat>
            <c:numRef>
              <c:f>Sheet1!$B$1:$F$1</c:f>
              <c:numCache>
                <c:formatCode>General</c:formatCode>
                <c:ptCount val="5"/>
                <c:pt idx="0">
                  <c:v>2021</c:v>
                </c:pt>
                <c:pt idx="1">
                  <c:v>2022</c:v>
                </c:pt>
                <c:pt idx="2">
                  <c:v>2023</c:v>
                </c:pt>
                <c:pt idx="3">
                  <c:v>2024</c:v>
                </c:pt>
                <c:pt idx="4">
                  <c:v>2025</c:v>
                </c:pt>
              </c:numCache>
            </c:numRef>
          </c:cat>
          <c:val>
            <c:numRef>
              <c:f>Sheet1!$B$5:$F$5</c:f>
              <c:numCache>
                <c:formatCode>0.0</c:formatCode>
                <c:ptCount val="5"/>
                <c:pt idx="0">
                  <c:v>-2.8746707917413716</c:v>
                </c:pt>
                <c:pt idx="1">
                  <c:v>-2.5041248458293386</c:v>
                </c:pt>
                <c:pt idx="2">
                  <c:v>-2.5891874356119415</c:v>
                </c:pt>
                <c:pt idx="3">
                  <c:v>-3.5125942688048752</c:v>
                </c:pt>
                <c:pt idx="4">
                  <c:v>-2.9775504323915225</c:v>
                </c:pt>
              </c:numCache>
            </c:numRef>
          </c:val>
          <c:extLst>
            <c:ext xmlns:c16="http://schemas.microsoft.com/office/drawing/2014/chart" uri="{C3380CC4-5D6E-409C-BE32-E72D297353CC}">
              <c16:uniqueId val="{00000002-08E6-4037-B619-0D5EB038C244}"/>
            </c:ext>
          </c:extLst>
        </c:ser>
        <c:ser>
          <c:idx val="4"/>
          <c:order val="4"/>
          <c:tx>
            <c:strRef>
              <c:f>Sheet1!$A$6</c:f>
              <c:strCache>
                <c:ptCount val="1"/>
                <c:pt idx="0">
                  <c:v>Երկրորդային եկամուտներ, զուտ</c:v>
                </c:pt>
              </c:strCache>
            </c:strRef>
          </c:tx>
          <c:spPr>
            <a:solidFill>
              <a:srgbClr val="1F497D"/>
            </a:solidFill>
            <a:ln w="25375">
              <a:noFill/>
            </a:ln>
          </c:spPr>
          <c:invertIfNegative val="0"/>
          <c:cat>
            <c:numRef>
              <c:f>Sheet1!$B$1:$F$1</c:f>
              <c:numCache>
                <c:formatCode>General</c:formatCode>
                <c:ptCount val="5"/>
                <c:pt idx="0">
                  <c:v>2021</c:v>
                </c:pt>
                <c:pt idx="1">
                  <c:v>2022</c:v>
                </c:pt>
                <c:pt idx="2">
                  <c:v>2023</c:v>
                </c:pt>
                <c:pt idx="3">
                  <c:v>2024</c:v>
                </c:pt>
                <c:pt idx="4">
                  <c:v>2025</c:v>
                </c:pt>
              </c:numCache>
            </c:numRef>
          </c:cat>
          <c:val>
            <c:numRef>
              <c:f>Sheet1!$B$6:$F$6</c:f>
              <c:numCache>
                <c:formatCode>0.0</c:formatCode>
                <c:ptCount val="5"/>
                <c:pt idx="0">
                  <c:v>7.5139308283418123</c:v>
                </c:pt>
                <c:pt idx="1">
                  <c:v>3.7538578548144095</c:v>
                </c:pt>
                <c:pt idx="2">
                  <c:v>1.2390317284349037</c:v>
                </c:pt>
                <c:pt idx="3">
                  <c:v>1.7295535382807603</c:v>
                </c:pt>
                <c:pt idx="4">
                  <c:v>1.1897579789812831</c:v>
                </c:pt>
              </c:numCache>
            </c:numRef>
          </c:val>
          <c:extLst>
            <c:ext xmlns:c16="http://schemas.microsoft.com/office/drawing/2014/chart" uri="{C3380CC4-5D6E-409C-BE32-E72D297353CC}">
              <c16:uniqueId val="{00000003-08E6-4037-B619-0D5EB038C244}"/>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Ընթացիկ հաշիվ</c:v>
                </c:pt>
              </c:strCache>
            </c:strRef>
          </c:tx>
          <c:spPr>
            <a:ln w="28547" cap="rnd">
              <a:solidFill>
                <a:schemeClr val="accent1"/>
              </a:solidFill>
              <a:round/>
            </a:ln>
            <a:effectLst/>
          </c:spPr>
          <c:marker>
            <c:symbol val="circle"/>
            <c:size val="4"/>
            <c:spPr>
              <a:solidFill>
                <a:schemeClr val="accent1"/>
              </a:solidFill>
              <a:ln w="9516">
                <a:solidFill>
                  <a:schemeClr val="accent1"/>
                </a:solidFill>
              </a:ln>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0.0</c:formatCode>
                <c:ptCount val="5"/>
                <c:pt idx="0">
                  <c:v>-3.3962962982383189</c:v>
                </c:pt>
                <c:pt idx="1">
                  <c:v>0.73786752830332225</c:v>
                </c:pt>
                <c:pt idx="2">
                  <c:v>-2.7702639041891164</c:v>
                </c:pt>
                <c:pt idx="3">
                  <c:v>-4.6021625455994322</c:v>
                </c:pt>
                <c:pt idx="4">
                  <c:v>-7.2184597731030848</c:v>
                </c:pt>
              </c:numCache>
            </c:numRef>
          </c:val>
          <c:smooth val="0"/>
          <c:extLst>
            <c:ext xmlns:c16="http://schemas.microsoft.com/office/drawing/2014/chart" uri="{C3380CC4-5D6E-409C-BE32-E72D297353CC}">
              <c16:uniqueId val="{00000004-08E6-4037-B619-0D5EB038C244}"/>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16"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0.0" sourceLinked="1"/>
        <c:majorTickMark val="none"/>
        <c:minorTickMark val="none"/>
        <c:tickLblPos val="nextTo"/>
        <c:spPr>
          <a:ln w="9516">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5"/>
      </c:valAx>
      <c:spPr>
        <a:noFill/>
        <a:ln w="25375">
          <a:noFill/>
        </a:ln>
      </c:spPr>
    </c:plotArea>
    <c:legend>
      <c:legendPos val="b"/>
      <c:layout>
        <c:manualLayout>
          <c:xMode val="edge"/>
          <c:yMode val="edge"/>
          <c:x val="4.197817378090897E-2"/>
          <c:y val="0.71256731797414219"/>
          <c:w val="0.9313782371630791"/>
          <c:h val="0.27613346942743267"/>
        </c:manualLayout>
      </c:layout>
      <c:overlay val="0"/>
      <c:spPr>
        <a:noFill/>
        <a:ln w="25375">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3436679790026231"/>
        </c:manualLayout>
      </c:layout>
      <c:barChart>
        <c:barDir val="col"/>
        <c:grouping val="stacked"/>
        <c:varyColors val="0"/>
        <c:ser>
          <c:idx val="1"/>
          <c:order val="0"/>
          <c:tx>
            <c:strRef>
              <c:f>Sheet1!$A$2</c:f>
              <c:strCache>
                <c:ptCount val="1"/>
                <c:pt idx="0">
                  <c:v>Արտահանում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1763.2828382135999</c:v>
                </c:pt>
                <c:pt idx="1">
                  <c:v>4427.6007262831999</c:v>
                </c:pt>
                <c:pt idx="2">
                  <c:v>5851.5708504220001</c:v>
                </c:pt>
                <c:pt idx="3">
                  <c:v>5855.0915909107998</c:v>
                </c:pt>
                <c:pt idx="4">
                  <c:v>6123.1965171928996</c:v>
                </c:pt>
              </c:numCache>
            </c:numRef>
          </c:val>
          <c:extLst>
            <c:ext xmlns:c16="http://schemas.microsoft.com/office/drawing/2014/chart" uri="{C3380CC4-5D6E-409C-BE32-E72D297353CC}">
              <c16:uniqueId val="{00000000-6820-401F-B1BB-0F248C90508C}"/>
            </c:ext>
          </c:extLst>
        </c:ser>
        <c:ser>
          <c:idx val="2"/>
          <c:order val="2"/>
          <c:tx>
            <c:strRef>
              <c:f>Sheet1!$A$4</c:f>
              <c:strCache>
                <c:ptCount val="1"/>
                <c:pt idx="0">
                  <c:v>Ներմուծում</c:v>
                </c:pt>
              </c:strCache>
            </c:strRef>
          </c:tx>
          <c:spPr>
            <a:solidFill>
              <a:srgbClr val="1F497D"/>
            </a:solidFill>
            <a:ln w="25392">
              <a:noFill/>
            </a:ln>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c:formatCode>
                <c:ptCount val="5"/>
                <c:pt idx="0">
                  <c:v>-1373.7610135893001</c:v>
                </c:pt>
                <c:pt idx="1">
                  <c:v>-2724.6542503159999</c:v>
                </c:pt>
                <c:pt idx="2">
                  <c:v>-3767.1327483324999</c:v>
                </c:pt>
                <c:pt idx="3">
                  <c:v>-4391.8187290891001</c:v>
                </c:pt>
                <c:pt idx="4">
                  <c:v>-4651.9996074189003</c:v>
                </c:pt>
              </c:numCache>
            </c:numRef>
          </c:val>
          <c:extLst>
            <c:ext xmlns:c16="http://schemas.microsoft.com/office/drawing/2014/chart" uri="{C3380CC4-5D6E-409C-BE32-E72D297353CC}">
              <c16:uniqueId val="{00000001-6820-401F-B1BB-0F248C90508C}"/>
            </c:ext>
          </c:extLst>
        </c:ser>
        <c:dLbls>
          <c:showLegendKey val="0"/>
          <c:showVal val="0"/>
          <c:showCatName val="0"/>
          <c:showSerName val="0"/>
          <c:showPercent val="0"/>
          <c:showBubbleSize val="0"/>
        </c:dLbls>
        <c:gapWidth val="150"/>
        <c:overlap val="100"/>
        <c:axId val="612019200"/>
        <c:axId val="1"/>
      </c:barChart>
      <c:lineChart>
        <c:grouping val="standard"/>
        <c:varyColors val="0"/>
        <c:ser>
          <c:idx val="0"/>
          <c:order val="1"/>
          <c:tx>
            <c:strRef>
              <c:f>Sheet1!$A$3</c:f>
              <c:strCache>
                <c:ptCount val="1"/>
                <c:pt idx="0">
                  <c:v>Ծառայությունների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389.52182462429982</c:v>
                </c:pt>
                <c:pt idx="1">
                  <c:v>1702.9464759672001</c:v>
                </c:pt>
                <c:pt idx="2">
                  <c:v>2084.4381020895003</c:v>
                </c:pt>
                <c:pt idx="3">
                  <c:v>1463.2728618216997</c:v>
                </c:pt>
                <c:pt idx="4">
                  <c:v>1471.1969097739993</c:v>
                </c:pt>
              </c:numCache>
            </c:numRef>
          </c:val>
          <c:smooth val="0"/>
          <c:extLst>
            <c:ext xmlns:c16="http://schemas.microsoft.com/office/drawing/2014/chart" uri="{C3380CC4-5D6E-409C-BE32-E72D297353CC}">
              <c16:uniqueId val="{00000002-6820-401F-B1BB-0F248C90508C}"/>
            </c:ext>
          </c:extLst>
        </c:ser>
        <c:dLbls>
          <c:showLegendKey val="0"/>
          <c:showVal val="0"/>
          <c:showCatName val="0"/>
          <c:showSerName val="0"/>
          <c:showPercent val="0"/>
          <c:showBubbleSize val="0"/>
        </c:dLbls>
        <c:marker val="1"/>
        <c:smooth val="0"/>
        <c:axId val="612019200"/>
        <c:axId val="1"/>
      </c:lineChart>
      <c:catAx>
        <c:axId val="612019200"/>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ax val="8000"/>
          <c:min val="-5000"/>
        </c:scaling>
        <c:delete val="0"/>
        <c:axPos val="l"/>
        <c:majorGridlines>
          <c:spPr>
            <a:ln w="9522" cap="flat" cmpd="sng" algn="ctr">
              <a:solidFill>
                <a:schemeClr val="tx1">
                  <a:lumMod val="15000"/>
                  <a:lumOff val="85000"/>
                </a:schemeClr>
              </a:solidFill>
              <a:round/>
            </a:ln>
            <a:effectLst/>
          </c:spPr>
        </c:majorGridlines>
        <c:numFmt formatCode="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9200"/>
        <c:crosses val="autoZero"/>
        <c:crossBetween val="between"/>
        <c:majorUnit val="3000"/>
      </c:valAx>
      <c:spPr>
        <a:noFill/>
        <a:ln w="25392">
          <a:noFill/>
        </a:ln>
      </c:spPr>
    </c:plotArea>
    <c:legend>
      <c:legendPos val="b"/>
      <c:layout>
        <c:manualLayout>
          <c:xMode val="edge"/>
          <c:yMode val="edge"/>
          <c:x val="2.6643914092781745E-2"/>
          <c:y val="0.73045884889388824"/>
          <c:w val="0.93878777536708835"/>
          <c:h val="0.23366657292838391"/>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9797182495045265"/>
        </c:manualLayout>
      </c:layout>
      <c:barChart>
        <c:barDir val="col"/>
        <c:grouping val="stacked"/>
        <c:varyColors val="0"/>
        <c:ser>
          <c:idx val="1"/>
          <c:order val="0"/>
          <c:tx>
            <c:strRef>
              <c:f>Sheet1!$A$2</c:f>
              <c:strCache>
                <c:ptCount val="1"/>
                <c:pt idx="0">
                  <c:v>Արտահանում</c:v>
                </c:pt>
              </c:strCache>
            </c:strRef>
          </c:tx>
          <c:spPr>
            <a:solidFill>
              <a:srgbClr val="1F497D"/>
            </a:solidFill>
            <a:ln w="25392">
              <a:noFill/>
            </a:ln>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3215.4510013667</c:v>
                </c:pt>
                <c:pt idx="1">
                  <c:v>5911.8786006404998</c:v>
                </c:pt>
                <c:pt idx="2">
                  <c:v>8866.5004445558006</c:v>
                </c:pt>
                <c:pt idx="3">
                  <c:v>13216.870353294</c:v>
                </c:pt>
                <c:pt idx="4">
                  <c:v>8526.1585945444003</c:v>
                </c:pt>
              </c:numCache>
            </c:numRef>
          </c:val>
          <c:extLst>
            <c:ext xmlns:c16="http://schemas.microsoft.com/office/drawing/2014/chart" uri="{C3380CC4-5D6E-409C-BE32-E72D297353CC}">
              <c16:uniqueId val="{00000000-CAD2-4E81-BAA1-DFE1C36F7841}"/>
            </c:ext>
          </c:extLst>
        </c:ser>
        <c:ser>
          <c:idx val="2"/>
          <c:order val="2"/>
          <c:tx>
            <c:strRef>
              <c:f>Sheet1!$A$4</c:f>
              <c:strCache>
                <c:ptCount val="1"/>
                <c:pt idx="0">
                  <c:v>Ներմուծում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c:formatCode>
                <c:ptCount val="5"/>
                <c:pt idx="0">
                  <c:v>-4720.2200544657999</c:v>
                </c:pt>
                <c:pt idx="1">
                  <c:v>-7714.7080290771</c:v>
                </c:pt>
                <c:pt idx="2">
                  <c:v>-11294.406155291001</c:v>
                </c:pt>
                <c:pt idx="3">
                  <c:v>-15411.855178567999</c:v>
                </c:pt>
                <c:pt idx="4">
                  <c:v>-11585.474670067</c:v>
                </c:pt>
              </c:numCache>
            </c:numRef>
          </c:val>
          <c:extLst>
            <c:ext xmlns:c16="http://schemas.microsoft.com/office/drawing/2014/chart" uri="{C3380CC4-5D6E-409C-BE32-E72D297353CC}">
              <c16:uniqueId val="{00000001-CAD2-4E81-BAA1-DFE1C36F7841}"/>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Առևտրային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-1504.7690530990999</c:v>
                </c:pt>
                <c:pt idx="1">
                  <c:v>-1802.8294284366002</c:v>
                </c:pt>
                <c:pt idx="2">
                  <c:v>-2427.9057107352</c:v>
                </c:pt>
                <c:pt idx="3">
                  <c:v>-2194.9848252739994</c:v>
                </c:pt>
                <c:pt idx="4">
                  <c:v>-3059.3160755225999</c:v>
                </c:pt>
              </c:numCache>
            </c:numRef>
          </c:val>
          <c:smooth val="0"/>
          <c:extLst>
            <c:ext xmlns:c16="http://schemas.microsoft.com/office/drawing/2014/chart" uri="{C3380CC4-5D6E-409C-BE32-E72D297353CC}">
              <c16:uniqueId val="{00000002-CAD2-4E81-BAA1-DFE1C36F7841}"/>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ax val="15000"/>
          <c:min val="-16000"/>
        </c:scaling>
        <c:delete val="0"/>
        <c:axPos val="l"/>
        <c:majorGridlines>
          <c:spPr>
            <a:ln w="9522" cap="flat" cmpd="sng" algn="ctr">
              <a:solidFill>
                <a:schemeClr val="tx1">
                  <a:lumMod val="15000"/>
                  <a:lumOff val="85000"/>
                </a:schemeClr>
              </a:solidFill>
              <a:round/>
            </a:ln>
            <a:effectLst/>
          </c:spPr>
        </c:majorGridlines>
        <c:numFmt formatCode="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2">
          <a:noFill/>
        </a:ln>
      </c:spPr>
    </c:plotArea>
    <c:legend>
      <c:legendPos val="b"/>
      <c:layout>
        <c:manualLayout>
          <c:xMode val="edge"/>
          <c:yMode val="edge"/>
          <c:x val="4.0380618057417744E-2"/>
          <c:y val="0.76943424929026738"/>
          <c:w val="0.93927858088946314"/>
          <c:h val="0.21604756548288609"/>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4016062363462"/>
          <c:y val="9.9861591375152187E-2"/>
          <c:w val="0.86605542312949757"/>
          <c:h val="0.52781180130261496"/>
        </c:manualLayout>
      </c:layout>
      <c:barChart>
        <c:barDir val="col"/>
        <c:grouping val="stacked"/>
        <c:varyColors val="0"/>
        <c:ser>
          <c:idx val="1"/>
          <c:order val="0"/>
          <c:tx>
            <c:strRef>
              <c:f>Sheet1!$A$2</c:f>
              <c:strCache>
                <c:ptCount val="1"/>
                <c:pt idx="0">
                  <c:v>Տրանսֆերտներ</c:v>
                </c:pt>
              </c:strCache>
            </c:strRef>
          </c:tx>
          <c:spPr>
            <a:solidFill>
              <a:srgbClr val="1F497D"/>
            </a:solidFill>
            <a:ln w="25379">
              <a:noFill/>
            </a:ln>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966.09962474105009</c:v>
                </c:pt>
                <c:pt idx="1">
                  <c:v>802.89751951768005</c:v>
                </c:pt>
                <c:pt idx="2">
                  <c:v>522.88973322694994</c:v>
                </c:pt>
                <c:pt idx="3">
                  <c:v>432.61543487007998</c:v>
                </c:pt>
                <c:pt idx="4">
                  <c:v>406.41529506153006</c:v>
                </c:pt>
              </c:numCache>
            </c:numRef>
          </c:val>
          <c:extLst>
            <c:ext xmlns:c16="http://schemas.microsoft.com/office/drawing/2014/chart" uri="{C3380CC4-5D6E-409C-BE32-E72D297353CC}">
              <c16:uniqueId val="{00000000-BD9A-43F4-B214-36FE252FCFBA}"/>
            </c:ext>
          </c:extLst>
        </c:ser>
        <c:ser>
          <c:idx val="2"/>
          <c:order val="2"/>
          <c:tx>
            <c:strRef>
              <c:f>Sheet1!$A$4</c:f>
              <c:strCache>
                <c:ptCount val="1"/>
                <c:pt idx="0">
                  <c:v>Աշխատողների վարձատրություն</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c:formatCode>
                <c:ptCount val="5"/>
                <c:pt idx="0">
                  <c:v>319.53352658198003</c:v>
                </c:pt>
                <c:pt idx="1">
                  <c:v>677.26799413354001</c:v>
                </c:pt>
                <c:pt idx="2">
                  <c:v>489.90439835520999</c:v>
                </c:pt>
                <c:pt idx="3">
                  <c:v>371.01372453292004</c:v>
                </c:pt>
                <c:pt idx="4">
                  <c:v>431.90259482302008</c:v>
                </c:pt>
              </c:numCache>
            </c:numRef>
          </c:val>
          <c:extLst>
            <c:ext xmlns:c16="http://schemas.microsoft.com/office/drawing/2014/chart" uri="{C3380CC4-5D6E-409C-BE32-E72D297353CC}">
              <c16:uniqueId val="{00000001-BD9A-43F4-B214-36FE252FCFBA}"/>
            </c:ext>
          </c:extLst>
        </c:ser>
        <c:dLbls>
          <c:showLegendKey val="0"/>
          <c:showVal val="0"/>
          <c:showCatName val="0"/>
          <c:showSerName val="0"/>
          <c:showPercent val="0"/>
          <c:showBubbleSize val="0"/>
        </c:dLbls>
        <c:gapWidth val="150"/>
        <c:overlap val="100"/>
        <c:axId val="612018368"/>
        <c:axId val="1"/>
      </c:barChart>
      <c:lineChart>
        <c:grouping val="standard"/>
        <c:varyColors val="0"/>
        <c:ser>
          <c:idx val="0"/>
          <c:order val="1"/>
          <c:tx>
            <c:strRef>
              <c:f>Sheet1!$A$3</c:f>
              <c:strCache>
                <c:ptCount val="1"/>
                <c:pt idx="0">
                  <c:v>Դրամական փոխանցումներ</c:v>
                </c:pt>
              </c:strCache>
            </c:strRef>
          </c:tx>
          <c:spPr>
            <a:ln w="28552" cap="rnd">
              <a:solidFill>
                <a:schemeClr val="accent1"/>
              </a:solidFill>
              <a:round/>
            </a:ln>
            <a:effectLst/>
          </c:spPr>
          <c:marker>
            <c:symbol val="circle"/>
            <c:size val="4"/>
            <c:spPr>
              <a:solidFill>
                <a:schemeClr val="accent1"/>
              </a:solidFill>
              <a:ln w="9517">
                <a:solidFill>
                  <a:schemeClr val="accent1"/>
                </a:solidFill>
              </a:ln>
              <a:effectLst/>
            </c:spPr>
          </c:marker>
          <c:dLbls>
            <c:spPr>
              <a:noFill/>
              <a:ln w="25379">
                <a:noFill/>
              </a:ln>
            </c:spPr>
            <c:txPr>
              <a:bodyPr rot="0" spcFirstLastPara="1" vertOverflow="ellipsis" vert="horz" wrap="square" anchor="ctr" anchorCtr="1"/>
              <a:lstStyle/>
              <a:p>
                <a:pPr>
                  <a:defRPr sz="899"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1285.6331513230302</c:v>
                </c:pt>
                <c:pt idx="1">
                  <c:v>1480.16551365122</c:v>
                </c:pt>
                <c:pt idx="2">
                  <c:v>1012.7941315821599</c:v>
                </c:pt>
                <c:pt idx="3">
                  <c:v>803.62915940300002</c:v>
                </c:pt>
                <c:pt idx="4">
                  <c:v>838.31788988455014</c:v>
                </c:pt>
              </c:numCache>
            </c:numRef>
          </c:val>
          <c:smooth val="0"/>
          <c:extLst>
            <c:ext xmlns:c16="http://schemas.microsoft.com/office/drawing/2014/chart" uri="{C3380CC4-5D6E-409C-BE32-E72D297353CC}">
              <c16:uniqueId val="{00000002-BD9A-43F4-B214-36FE252FCFBA}"/>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17"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flat" cmpd="sng" algn="ctr">
              <a:solidFill>
                <a:schemeClr val="tx1">
                  <a:lumMod val="15000"/>
                  <a:lumOff val="85000"/>
                </a:schemeClr>
              </a:solidFill>
              <a:round/>
            </a:ln>
            <a:effectLst/>
          </c:spPr>
        </c:majorGridlines>
        <c:numFmt formatCode="0" sourceLinked="1"/>
        <c:majorTickMark val="none"/>
        <c:minorTickMark val="none"/>
        <c:tickLblPos val="nextTo"/>
        <c:spPr>
          <a:ln w="9517">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noFill/>
        <a:ln w="25379">
          <a:noFill/>
        </a:ln>
      </c:spPr>
    </c:plotArea>
    <c:legend>
      <c:legendPos val="b"/>
      <c:layout>
        <c:manualLayout>
          <c:xMode val="edge"/>
          <c:yMode val="edge"/>
          <c:x val="8.2198548710822918E-3"/>
          <c:y val="0.7802719104556376"/>
          <c:w val="0.92742579004249859"/>
          <c:h val="0.20157434024450649"/>
        </c:manualLayout>
      </c:layout>
      <c:overlay val="0"/>
      <c:spPr>
        <a:noFill/>
        <a:ln w="25379">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635549068997656"/>
        </c:manualLayout>
      </c:layout>
      <c:lineChart>
        <c:grouping val="standard"/>
        <c:varyColors val="0"/>
        <c:ser>
          <c:idx val="0"/>
          <c:order val="0"/>
          <c:tx>
            <c:strRef>
              <c:f>Sheet1!$A$2</c:f>
              <c:strCache>
                <c:ptCount val="1"/>
                <c:pt idx="0">
                  <c:v>12 ամսյա փոփոխություն, % </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-43.621924304189683</c:v>
                </c:pt>
                <c:pt idx="1">
                  <c:v>-69.367741680975996</c:v>
                </c:pt>
                <c:pt idx="2">
                  <c:v>-65.356634702636597</c:v>
                </c:pt>
                <c:pt idx="3">
                  <c:v>-56.737221285629687</c:v>
                </c:pt>
                <c:pt idx="4">
                  <c:v>-38.774285020513858</c:v>
                </c:pt>
                <c:pt idx="5">
                  <c:v>-15.206105853159642</c:v>
                </c:pt>
                <c:pt idx="6">
                  <c:v>-14.988795875071858</c:v>
                </c:pt>
                <c:pt idx="7">
                  <c:v>-40.435079120506565</c:v>
                </c:pt>
                <c:pt idx="8">
                  <c:v>-23.478867854086076</c:v>
                </c:pt>
                <c:pt idx="9">
                  <c:v>-19.691377358012232</c:v>
                </c:pt>
                <c:pt idx="10">
                  <c:v>17.625057609363367</c:v>
                </c:pt>
                <c:pt idx="11">
                  <c:v>34.275921088159379</c:v>
                </c:pt>
              </c:numCache>
            </c:numRef>
          </c:val>
          <c:smooth val="0"/>
          <c:extLst>
            <c:ext xmlns:c16="http://schemas.microsoft.com/office/drawing/2014/chart" uri="{C3380CC4-5D6E-409C-BE32-E72D297353CC}">
              <c16:uniqueId val="{00000000-57AB-4263-95EA-24E3E779E083}"/>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1"/>
              <c:layout>
                <c:manualLayout>
                  <c:x val="-1.5810913730763303E-2"/>
                  <c:y val="-4.52593865732721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AB-4263-95EA-24E3E779E083}"/>
                </c:ext>
              </c:extLst>
            </c:dLbl>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-43.621924304189676</c:v>
                </c:pt>
                <c:pt idx="1">
                  <c:v>-59.910082259862037</c:v>
                </c:pt>
                <c:pt idx="2">
                  <c:v>-62.189848045790384</c:v>
                </c:pt>
                <c:pt idx="3">
                  <c:v>-60.70263450767029</c:v>
                </c:pt>
                <c:pt idx="4">
                  <c:v>-57.713830170870693</c:v>
                </c:pt>
                <c:pt idx="5">
                  <c:v>-53.079276125680472</c:v>
                </c:pt>
                <c:pt idx="6">
                  <c:v>-49.486241845131779</c:v>
                </c:pt>
                <c:pt idx="7">
                  <c:v>-48.569422461502825</c:v>
                </c:pt>
                <c:pt idx="8">
                  <c:v>-46.515773535919337</c:v>
                </c:pt>
                <c:pt idx="9">
                  <c:v>-44.314416566284415</c:v>
                </c:pt>
                <c:pt idx="10">
                  <c:v>-40.459000440085916</c:v>
                </c:pt>
                <c:pt idx="11">
                  <c:v>-36.090725452476612</c:v>
                </c:pt>
              </c:numCache>
            </c:numRef>
          </c:val>
          <c:smooth val="0"/>
          <c:extLst>
            <c:ext xmlns:c16="http://schemas.microsoft.com/office/drawing/2014/chart" uri="{C3380CC4-5D6E-409C-BE32-E72D297353CC}">
              <c16:uniqueId val="{00000002-57AB-4263-95EA-24E3E779E083}"/>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ysClr val="window" lastClr="FFFFFF">
                  <a:lumMod val="85000"/>
                </a:sys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4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569818842754E-2"/>
          <c:y val="0.82180156871582133"/>
          <c:w val="0.97802156363752013"/>
          <c:h val="0.15998760137581713"/>
        </c:manualLayout>
      </c:layout>
      <c:overlay val="0"/>
      <c:spPr>
        <a:noFill/>
        <a:ln w="25400">
          <a:noFill/>
        </a:ln>
      </c:spPr>
      <c:txPr>
        <a:bodyPr rot="0" spcFirstLastPara="1" vertOverflow="ellipsis" vert="horz" wrap="square" anchor="ctr" anchorCtr="1"/>
        <a:lstStyle/>
        <a:p>
          <a:pPr>
            <a:defRPr sz="80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9.9970619512831576</c:v>
                </c:pt>
                <c:pt idx="1">
                  <c:v>11.691833948380904</c:v>
                </c:pt>
                <c:pt idx="2">
                  <c:v>11.621691766052152</c:v>
                </c:pt>
                <c:pt idx="3">
                  <c:v>9.038638820986634</c:v>
                </c:pt>
                <c:pt idx="4">
                  <c:v>9.3628168045332103</c:v>
                </c:pt>
                <c:pt idx="5">
                  <c:v>9.0381107735021544</c:v>
                </c:pt>
                <c:pt idx="6">
                  <c:v>8.4383331289543406</c:v>
                </c:pt>
                <c:pt idx="7">
                  <c:v>8.2407096159530226</c:v>
                </c:pt>
                <c:pt idx="8">
                  <c:v>7.3772390985979399</c:v>
                </c:pt>
                <c:pt idx="9">
                  <c:v>7.1564973213833696</c:v>
                </c:pt>
                <c:pt idx="10">
                  <c:v>6.3225671226697955</c:v>
                </c:pt>
                <c:pt idx="11">
                  <c:v>5.2089457202358318</c:v>
                </c:pt>
              </c:numCache>
            </c:numRef>
          </c:val>
          <c:smooth val="0"/>
          <c:extLst>
            <c:ext xmlns:c16="http://schemas.microsoft.com/office/drawing/2014/chart" uri="{C3380CC4-5D6E-409C-BE32-E72D297353CC}">
              <c16:uniqueId val="{00000000-A16E-4BB6-B2FA-1B9C54E83FA5}"/>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1.776873005101919</c:v>
                </c:pt>
                <c:pt idx="1">
                  <c:v>1.9836418858460831</c:v>
                </c:pt>
                <c:pt idx="2">
                  <c:v>1.9708835256729174</c:v>
                </c:pt>
                <c:pt idx="3">
                  <c:v>1.5003360854291259</c:v>
                </c:pt>
                <c:pt idx="4">
                  <c:v>1.2655262501209563</c:v>
                </c:pt>
                <c:pt idx="5">
                  <c:v>1.2219794448490688</c:v>
                </c:pt>
                <c:pt idx="6">
                  <c:v>1.1966030967458465</c:v>
                </c:pt>
                <c:pt idx="7">
                  <c:v>1.2063856903010759</c:v>
                </c:pt>
                <c:pt idx="8">
                  <c:v>1.2041441771109618</c:v>
                </c:pt>
                <c:pt idx="9">
                  <c:v>1.2010936368579479</c:v>
                </c:pt>
                <c:pt idx="10">
                  <c:v>1.2572080082202888</c:v>
                </c:pt>
                <c:pt idx="11">
                  <c:v>1.4777794764573713</c:v>
                </c:pt>
              </c:numCache>
            </c:numRef>
          </c:val>
          <c:smooth val="0"/>
          <c:extLst>
            <c:ext xmlns:c16="http://schemas.microsoft.com/office/drawing/2014/chart" uri="{C3380CC4-5D6E-409C-BE32-E72D297353CC}">
              <c16:uniqueId val="{00000001-A16E-4BB6-B2FA-1B9C54E83FA5}"/>
            </c:ext>
          </c:extLst>
        </c:ser>
        <c:dLbls>
          <c:showLegendKey val="0"/>
          <c:showVal val="0"/>
          <c:showCatName val="0"/>
          <c:showSerName val="0"/>
          <c:showPercent val="0"/>
          <c:showBubbleSize val="0"/>
        </c:dLbls>
        <c:marker val="1"/>
        <c:smooth val="0"/>
        <c:axId val="612017952"/>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-49.640656517925663</c:v>
                </c:pt>
                <c:pt idx="1">
                  <c:v>-64.804817107704594</c:v>
                </c:pt>
                <c:pt idx="2">
                  <c:v>-66.78122294027645</c:v>
                </c:pt>
                <c:pt idx="3">
                  <c:v>-64.492872921267036</c:v>
                </c:pt>
                <c:pt idx="4">
                  <c:v>-61.817264583461018</c:v>
                </c:pt>
                <c:pt idx="5">
                  <c:v>-57.487997799509586</c:v>
                </c:pt>
                <c:pt idx="6">
                  <c:v>-53.967886767754862</c:v>
                </c:pt>
                <c:pt idx="7">
                  <c:v>-53.051377432255173</c:v>
                </c:pt>
                <c:pt idx="8">
                  <c:v>-50.782994185181799</c:v>
                </c:pt>
                <c:pt idx="9">
                  <c:v>-48.650164186324382</c:v>
                </c:pt>
                <c:pt idx="10">
                  <c:v>-44.694958958646644</c:v>
                </c:pt>
                <c:pt idx="11">
                  <c:v>-40.13951053239964</c:v>
                </c:pt>
              </c:numCache>
            </c:numRef>
          </c:val>
          <c:smooth val="0"/>
          <c:extLst>
            <c:ext xmlns:c16="http://schemas.microsoft.com/office/drawing/2014/chart" uri="{C3380CC4-5D6E-409C-BE32-E72D297353CC}">
              <c16:uniqueId val="{00000002-A16E-4BB6-B2FA-1B9C54E83FA5}"/>
            </c:ext>
          </c:extLst>
        </c:ser>
        <c:dLbls>
          <c:showLegendKey val="0"/>
          <c:showVal val="0"/>
          <c:showCatName val="0"/>
          <c:showSerName val="0"/>
          <c:showPercent val="0"/>
          <c:showBubbleSize val="0"/>
        </c:dLbls>
        <c:marker val="1"/>
        <c:smooth val="0"/>
        <c:axId val="179281712"/>
        <c:axId val="179279632"/>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valAx>
      <c:valAx>
        <c:axId val="179279632"/>
        <c:scaling>
          <c:orientation val="minMax"/>
        </c:scaling>
        <c:delete val="0"/>
        <c:axPos val="r"/>
        <c:numFmt formatCode="0" sourceLinked="1"/>
        <c:majorTickMark val="out"/>
        <c:minorTickMark val="none"/>
        <c:tickLblPos val="nextTo"/>
        <c:crossAx val="179281712"/>
        <c:crosses val="max"/>
        <c:crossBetween val="between"/>
        <c:majorUnit val="20"/>
      </c:valAx>
      <c:catAx>
        <c:axId val="179281712"/>
        <c:scaling>
          <c:orientation val="minMax"/>
        </c:scaling>
        <c:delete val="1"/>
        <c:axPos val="b"/>
        <c:numFmt formatCode="General" sourceLinked="1"/>
        <c:majorTickMark val="out"/>
        <c:minorTickMark val="none"/>
        <c:tickLblPos val="nextTo"/>
        <c:crossAx val="179279632"/>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7050869614060893"/>
        </c:manualLayout>
      </c:layout>
      <c:lineChart>
        <c:grouping val="standard"/>
        <c:varyColors val="0"/>
        <c:ser>
          <c:idx val="0"/>
          <c:order val="0"/>
          <c:tx>
            <c:strRef>
              <c:f>Sheet1!$A$2</c:f>
              <c:strCache>
                <c:ptCount val="1"/>
                <c:pt idx="0">
                  <c:v>12 ամսյա փոփոխություն, % </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-32.070992876809356</c:v>
                </c:pt>
                <c:pt idx="1">
                  <c:v>-54.501859196050916</c:v>
                </c:pt>
                <c:pt idx="2">
                  <c:v>-50.333339425241377</c:v>
                </c:pt>
                <c:pt idx="3">
                  <c:v>-42.397021785539614</c:v>
                </c:pt>
                <c:pt idx="4">
                  <c:v>-16.589339123878716</c:v>
                </c:pt>
                <c:pt idx="5">
                  <c:v>-16.488353821603383</c:v>
                </c:pt>
                <c:pt idx="6">
                  <c:v>-15.053062357070274</c:v>
                </c:pt>
                <c:pt idx="7">
                  <c:v>-27.24684737700133</c:v>
                </c:pt>
                <c:pt idx="8">
                  <c:v>-12.486922508843506</c:v>
                </c:pt>
                <c:pt idx="9">
                  <c:v>-11.464377316778624</c:v>
                </c:pt>
                <c:pt idx="10">
                  <c:v>14.946665856920688</c:v>
                </c:pt>
                <c:pt idx="11">
                  <c:v>30.436339499048756</c:v>
                </c:pt>
              </c:numCache>
            </c:numRef>
          </c:val>
          <c:smooth val="0"/>
          <c:extLst>
            <c:ext xmlns:c16="http://schemas.microsoft.com/office/drawing/2014/chart" uri="{C3380CC4-5D6E-409C-BE32-E72D297353CC}">
              <c16:uniqueId val="{00000000-6DD2-435A-9DC2-48F4D68E7856}"/>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-32.070992876809356</c:v>
                </c:pt>
                <c:pt idx="1">
                  <c:v>-45.132496383655216</c:v>
                </c:pt>
                <c:pt idx="2">
                  <c:v>-47.193032036389781</c:v>
                </c:pt>
                <c:pt idx="3">
                  <c:v>-45.944603080862464</c:v>
                </c:pt>
                <c:pt idx="4">
                  <c:v>-41.687391208940078</c:v>
                </c:pt>
                <c:pt idx="5">
                  <c:v>-38.527641592684127</c:v>
                </c:pt>
                <c:pt idx="6">
                  <c:v>-35.825404504455989</c:v>
                </c:pt>
                <c:pt idx="7">
                  <c:v>-34.909000862674155</c:v>
                </c:pt>
                <c:pt idx="8">
                  <c:v>-32.94169847446949</c:v>
                </c:pt>
                <c:pt idx="9">
                  <c:v>-30.964463459553173</c:v>
                </c:pt>
                <c:pt idx="10">
                  <c:v>-27.476674036704956</c:v>
                </c:pt>
                <c:pt idx="11">
                  <c:v>-23.621004182295195</c:v>
                </c:pt>
              </c:numCache>
            </c:numRef>
          </c:val>
          <c:smooth val="0"/>
          <c:extLst>
            <c:ext xmlns:c16="http://schemas.microsoft.com/office/drawing/2014/chart" uri="{C3380CC4-5D6E-409C-BE32-E72D297353CC}">
              <c16:uniqueId val="{00000001-6DD2-435A-9DC2-48F4D68E7856}"/>
            </c:ext>
          </c:extLst>
        </c:ser>
        <c:dLbls>
          <c:showLegendKey val="0"/>
          <c:showVal val="0"/>
          <c:showCatName val="0"/>
          <c:showSerName val="0"/>
          <c:showPercent val="0"/>
          <c:showBubbleSize val="0"/>
        </c:dLbls>
        <c:marker val="1"/>
        <c:smooth val="0"/>
        <c:axId val="612014624"/>
        <c:axId val="1"/>
      </c:lineChart>
      <c:catAx>
        <c:axId val="612014624"/>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4624"/>
        <c:crosses val="autoZero"/>
        <c:crossBetween val="between"/>
        <c:majorUnit val="6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822993101093E-2"/>
          <c:y val="0.83122785765139684"/>
          <c:w val="0.97802166370070609"/>
          <c:h val="0.15056180730445134"/>
        </c:manualLayout>
      </c:layout>
      <c:overlay val="0"/>
      <c:spPr>
        <a:noFill/>
        <a:ln w="25343">
          <a:noFill/>
        </a:ln>
      </c:spPr>
      <c:txPr>
        <a:bodyPr rot="0" spcFirstLastPara="1" vertOverflow="ellipsis" vert="horz" wrap="square" anchor="ctr" anchorCtr="1"/>
        <a:lstStyle/>
        <a:p>
          <a:pPr>
            <a:defRPr sz="898">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2225" cap="rnd">
              <a:solidFill>
                <a:srgbClr val="4F81BD"/>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Sheet1!$D$2:$D$97</c:f>
              <c:numCache>
                <c:formatCode>General</c:formatCode>
                <c:ptCount val="6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0.5</c:v>
                </c:pt>
                <c:pt idx="19">
                  <c:v>0.5</c:v>
                </c:pt>
                <c:pt idx="20" formatCode="0.0">
                  <c:v>1.3</c:v>
                </c:pt>
                <c:pt idx="21" formatCode="0.0">
                  <c:v>1.3</c:v>
                </c:pt>
                <c:pt idx="22">
                  <c:v>2</c:v>
                </c:pt>
                <c:pt idx="23">
                  <c:v>2.5</c:v>
                </c:pt>
                <c:pt idx="24" formatCode="0.00">
                  <c:v>2.5</c:v>
                </c:pt>
                <c:pt idx="25" formatCode="0.00">
                  <c:v>3</c:v>
                </c:pt>
                <c:pt idx="26" formatCode="0.00">
                  <c:v>3.5</c:v>
                </c:pt>
                <c:pt idx="27" formatCode="0.00">
                  <c:v>3.75</c:v>
                </c:pt>
                <c:pt idx="28" formatCode="0.00">
                  <c:v>3.75</c:v>
                </c:pt>
                <c:pt idx="29" formatCode="0.00">
                  <c:v>4</c:v>
                </c:pt>
                <c:pt idx="30">
                  <c:v>4.25</c:v>
                </c:pt>
                <c:pt idx="31">
                  <c:v>4.25</c:v>
                </c:pt>
                <c:pt idx="32">
                  <c:v>4.5</c:v>
                </c:pt>
                <c:pt idx="33" formatCode="0.0">
                  <c:v>4.5</c:v>
                </c:pt>
                <c:pt idx="34" formatCode="0.0">
                  <c:v>4.5</c:v>
                </c:pt>
                <c:pt idx="35" formatCode="0.0">
                  <c:v>4.5</c:v>
                </c:pt>
                <c:pt idx="36" formatCode="0.00">
                  <c:v>4.5</c:v>
                </c:pt>
                <c:pt idx="37" formatCode="0.00">
                  <c:v>4.5</c:v>
                </c:pt>
                <c:pt idx="38" formatCode="0.00">
                  <c:v>4.5</c:v>
                </c:pt>
                <c:pt idx="39" formatCode="0.00">
                  <c:v>4.5</c:v>
                </c:pt>
                <c:pt idx="40" formatCode="0.00">
                  <c:v>4.5</c:v>
                </c:pt>
                <c:pt idx="41" formatCode="0.00">
                  <c:v>4.25</c:v>
                </c:pt>
                <c:pt idx="42" formatCode="0.00">
                  <c:v>4.25</c:v>
                </c:pt>
                <c:pt idx="43" formatCode="0.00">
                  <c:v>4.25</c:v>
                </c:pt>
                <c:pt idx="44" formatCode="0.00">
                  <c:v>3.65</c:v>
                </c:pt>
                <c:pt idx="45" formatCode="0.00">
                  <c:v>3.4</c:v>
                </c:pt>
                <c:pt idx="46" formatCode="0.00">
                  <c:v>3.4</c:v>
                </c:pt>
                <c:pt idx="47" formatCode="0.00">
                  <c:v>3.15</c:v>
                </c:pt>
                <c:pt idx="48">
                  <c:v>3.15</c:v>
                </c:pt>
                <c:pt idx="49">
                  <c:v>2.9</c:v>
                </c:pt>
                <c:pt idx="50">
                  <c:v>2.65</c:v>
                </c:pt>
                <c:pt idx="51">
                  <c:v>2.65</c:v>
                </c:pt>
                <c:pt idx="52">
                  <c:v>2.4</c:v>
                </c:pt>
                <c:pt idx="53">
                  <c:v>2.15</c:v>
                </c:pt>
                <c:pt idx="54">
                  <c:v>2.15</c:v>
                </c:pt>
                <c:pt idx="55">
                  <c:v>2.15</c:v>
                </c:pt>
                <c:pt idx="56">
                  <c:v>2.15</c:v>
                </c:pt>
                <c:pt idx="57">
                  <c:v>2.15</c:v>
                </c:pt>
                <c:pt idx="58">
                  <c:v>2.15</c:v>
                </c:pt>
                <c:pt idx="59">
                  <c:v>2.15</c:v>
                </c:pt>
              </c:numCache>
            </c:numRef>
          </c:val>
          <c:smooth val="0"/>
          <c:extLst>
            <c:ext xmlns:c16="http://schemas.microsoft.com/office/drawing/2014/chart" uri="{C3380CC4-5D6E-409C-BE32-E72D297353CC}">
              <c16:uniqueId val="{00000000-C2A0-4142-A1B8-2863BAD083E9}"/>
            </c:ext>
          </c:extLst>
        </c:ser>
        <c:ser>
          <c:idx val="1"/>
          <c:order val="1"/>
          <c:tx>
            <c:strRef>
              <c:f>Sheet1!$E$1</c:f>
              <c:strCache>
                <c:ptCount val="1"/>
                <c:pt idx="0">
                  <c:v>Չինաստան</c:v>
                </c:pt>
              </c:strCache>
            </c:strRef>
          </c:tx>
          <c:spPr>
            <a:ln w="22225" cap="rnd">
              <a:solidFill>
                <a:sysClr val="window" lastClr="FFFFFF">
                  <a:lumMod val="65000"/>
                </a:sys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Sheet1!$E$2:$E$97</c:f>
              <c:numCache>
                <c:formatCode>General</c:formatCode>
                <c:ptCount val="60"/>
                <c:pt idx="0">
                  <c:v>3.85</c:v>
                </c:pt>
                <c:pt idx="1">
                  <c:v>3.85</c:v>
                </c:pt>
                <c:pt idx="2">
                  <c:v>3.85</c:v>
                </c:pt>
                <c:pt idx="3">
                  <c:v>3.85</c:v>
                </c:pt>
                <c:pt idx="4">
                  <c:v>3.85</c:v>
                </c:pt>
                <c:pt idx="5">
                  <c:v>3.85</c:v>
                </c:pt>
                <c:pt idx="6">
                  <c:v>3.85</c:v>
                </c:pt>
                <c:pt idx="7">
                  <c:v>3.85</c:v>
                </c:pt>
                <c:pt idx="8">
                  <c:v>3.85</c:v>
                </c:pt>
                <c:pt idx="9">
                  <c:v>3.85</c:v>
                </c:pt>
                <c:pt idx="10">
                  <c:v>3.85</c:v>
                </c:pt>
                <c:pt idx="11">
                  <c:v>3.8</c:v>
                </c:pt>
                <c:pt idx="12">
                  <c:v>3.8</c:v>
                </c:pt>
                <c:pt idx="13">
                  <c:v>3.7</c:v>
                </c:pt>
                <c:pt idx="14">
                  <c:v>3.7</c:v>
                </c:pt>
                <c:pt idx="15">
                  <c:v>3.7</c:v>
                </c:pt>
                <c:pt idx="16">
                  <c:v>3.7</c:v>
                </c:pt>
                <c:pt idx="17">
                  <c:v>3.7</c:v>
                </c:pt>
                <c:pt idx="18">
                  <c:v>3.7</c:v>
                </c:pt>
                <c:pt idx="19">
                  <c:v>3.7</c:v>
                </c:pt>
                <c:pt idx="20" formatCode="0.00">
                  <c:v>3.65</c:v>
                </c:pt>
                <c:pt idx="21" formatCode="0.00">
                  <c:v>3.65</c:v>
                </c:pt>
                <c:pt idx="22" formatCode="0.00">
                  <c:v>3.65</c:v>
                </c:pt>
                <c:pt idx="23" formatCode="0.00">
                  <c:v>3.65</c:v>
                </c:pt>
                <c:pt idx="24" formatCode="0.00">
                  <c:v>3.65</c:v>
                </c:pt>
                <c:pt idx="25" formatCode="0.00">
                  <c:v>3.65</c:v>
                </c:pt>
                <c:pt idx="26" formatCode="0.00">
                  <c:v>3.65</c:v>
                </c:pt>
                <c:pt idx="27" formatCode="0.00">
                  <c:v>3.65</c:v>
                </c:pt>
                <c:pt idx="28" formatCode="0.00">
                  <c:v>3.65</c:v>
                </c:pt>
                <c:pt idx="29" formatCode="0.00">
                  <c:v>3.55</c:v>
                </c:pt>
                <c:pt idx="30">
                  <c:v>3.55</c:v>
                </c:pt>
                <c:pt idx="31">
                  <c:v>3.45</c:v>
                </c:pt>
                <c:pt idx="32">
                  <c:v>3.45</c:v>
                </c:pt>
                <c:pt idx="33" formatCode="0.0">
                  <c:v>3.45</c:v>
                </c:pt>
                <c:pt idx="34" formatCode="0.0">
                  <c:v>3.45</c:v>
                </c:pt>
                <c:pt idx="35" formatCode="0.0">
                  <c:v>3.45</c:v>
                </c:pt>
                <c:pt idx="36" formatCode="0.00">
                  <c:v>3.45</c:v>
                </c:pt>
                <c:pt idx="37" formatCode="0.00">
                  <c:v>3.45</c:v>
                </c:pt>
                <c:pt idx="38" formatCode="0.00">
                  <c:v>3.45</c:v>
                </c:pt>
                <c:pt idx="39" formatCode="0.00">
                  <c:v>3.45</c:v>
                </c:pt>
                <c:pt idx="40" formatCode="0.00">
                  <c:v>3.45</c:v>
                </c:pt>
                <c:pt idx="41" formatCode="0.00">
                  <c:v>3.45</c:v>
                </c:pt>
                <c:pt idx="42" formatCode="0.00">
                  <c:v>3.35</c:v>
                </c:pt>
                <c:pt idx="43" formatCode="0.00">
                  <c:v>3.35</c:v>
                </c:pt>
                <c:pt idx="44" formatCode="0.00">
                  <c:v>3.35</c:v>
                </c:pt>
                <c:pt idx="45" formatCode="0.00">
                  <c:v>3.1</c:v>
                </c:pt>
                <c:pt idx="46" formatCode="0.00">
                  <c:v>3.1</c:v>
                </c:pt>
                <c:pt idx="47" formatCode="0.00">
                  <c:v>3.1</c:v>
                </c:pt>
                <c:pt idx="48">
                  <c:v>3.1</c:v>
                </c:pt>
                <c:pt idx="49">
                  <c:v>3.1</c:v>
                </c:pt>
                <c:pt idx="50">
                  <c:v>3.1</c:v>
                </c:pt>
                <c:pt idx="51">
                  <c:v>3.1</c:v>
                </c:pt>
                <c:pt idx="52">
                  <c:v>3.1</c:v>
                </c:pt>
                <c:pt idx="53" formatCode="0.0">
                  <c:v>3</c:v>
                </c:pt>
                <c:pt idx="54" formatCode="0.0">
                  <c:v>3</c:v>
                </c:pt>
                <c:pt idx="55" formatCode="0.0">
                  <c:v>3</c:v>
                </c:pt>
                <c:pt idx="56" formatCode="0.0">
                  <c:v>3</c:v>
                </c:pt>
                <c:pt idx="57" formatCode="0.0">
                  <c:v>3</c:v>
                </c:pt>
                <c:pt idx="58" formatCode="0.0">
                  <c:v>3</c:v>
                </c:pt>
                <c:pt idx="59" formatCode="0.0">
                  <c:v>3</c:v>
                </c:pt>
              </c:numCache>
            </c:numRef>
          </c:val>
          <c:smooth val="0"/>
          <c:extLst>
            <c:ext xmlns:c16="http://schemas.microsoft.com/office/drawing/2014/chart" uri="{C3380CC4-5D6E-409C-BE32-E72D297353CC}">
              <c16:uniqueId val="{00000001-C2A0-4142-A1B8-2863BAD083E9}"/>
            </c:ext>
          </c:extLst>
        </c:ser>
        <c:ser>
          <c:idx val="2"/>
          <c:order val="2"/>
          <c:tx>
            <c:strRef>
              <c:f>Sheet1!$F$1</c:f>
              <c:strCache>
                <c:ptCount val="1"/>
                <c:pt idx="0">
                  <c:v>ՌԴ</c:v>
                </c:pt>
              </c:strCache>
            </c:strRef>
          </c:tx>
          <c:spPr>
            <a:ln w="22225" cap="rnd">
              <a:solidFill>
                <a:srgbClr val="F79646">
                  <a:lumMod val="60000"/>
                  <a:lumOff val="40000"/>
                </a:srgb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Sheet1!$F$2:$F$97</c:f>
              <c:numCache>
                <c:formatCode>General</c:formatCode>
                <c:ptCount val="60"/>
                <c:pt idx="0">
                  <c:v>4.25</c:v>
                </c:pt>
                <c:pt idx="1">
                  <c:v>4.25</c:v>
                </c:pt>
                <c:pt idx="2">
                  <c:v>4.25</c:v>
                </c:pt>
                <c:pt idx="3">
                  <c:v>4.5</c:v>
                </c:pt>
                <c:pt idx="4">
                  <c:v>5</c:v>
                </c:pt>
                <c:pt idx="5">
                  <c:v>5.5</c:v>
                </c:pt>
                <c:pt idx="6">
                  <c:v>5.5</c:v>
                </c:pt>
                <c:pt idx="7">
                  <c:v>6.5</c:v>
                </c:pt>
                <c:pt idx="8">
                  <c:v>6.75</c:v>
                </c:pt>
                <c:pt idx="9">
                  <c:v>6.75</c:v>
                </c:pt>
                <c:pt idx="10">
                  <c:v>7.5</c:v>
                </c:pt>
                <c:pt idx="11">
                  <c:v>8.5</c:v>
                </c:pt>
                <c:pt idx="12" formatCode="0.0">
                  <c:v>8.5</c:v>
                </c:pt>
                <c:pt idx="13" formatCode="0.0">
                  <c:v>9.5</c:v>
                </c:pt>
                <c:pt idx="14" formatCode="0.0">
                  <c:v>20</c:v>
                </c:pt>
                <c:pt idx="15" formatCode="0.0">
                  <c:v>17</c:v>
                </c:pt>
                <c:pt idx="16" formatCode="0.0">
                  <c:v>14</c:v>
                </c:pt>
                <c:pt idx="17" formatCode="0.0">
                  <c:v>11</c:v>
                </c:pt>
                <c:pt idx="18" formatCode="0.0">
                  <c:v>9.5</c:v>
                </c:pt>
                <c:pt idx="19" formatCode="0.0">
                  <c:v>8</c:v>
                </c:pt>
                <c:pt idx="20" formatCode="0.0">
                  <c:v>7.5</c:v>
                </c:pt>
                <c:pt idx="21" formatCode="0.0">
                  <c:v>7.5</c:v>
                </c:pt>
                <c:pt idx="22" formatCode="0.0">
                  <c:v>7.5</c:v>
                </c:pt>
                <c:pt idx="23" formatCode="0.0">
                  <c:v>7.5</c:v>
                </c:pt>
                <c:pt idx="24" formatCode="0.00">
                  <c:v>7.5</c:v>
                </c:pt>
                <c:pt idx="25" formatCode="0.00">
                  <c:v>7.5</c:v>
                </c:pt>
                <c:pt idx="26" formatCode="0.00">
                  <c:v>7.5</c:v>
                </c:pt>
                <c:pt idx="27" formatCode="0.00">
                  <c:v>7.5</c:v>
                </c:pt>
                <c:pt idx="28" formatCode="0.00">
                  <c:v>7.5</c:v>
                </c:pt>
                <c:pt idx="29" formatCode="0.00">
                  <c:v>7.5</c:v>
                </c:pt>
                <c:pt idx="30">
                  <c:v>8.5</c:v>
                </c:pt>
                <c:pt idx="31">
                  <c:v>12</c:v>
                </c:pt>
                <c:pt idx="32">
                  <c:v>13</c:v>
                </c:pt>
                <c:pt idx="33" formatCode="0.0">
                  <c:v>15</c:v>
                </c:pt>
                <c:pt idx="34" formatCode="0.0">
                  <c:v>15</c:v>
                </c:pt>
                <c:pt idx="35" formatCode="0.0">
                  <c:v>16</c:v>
                </c:pt>
                <c:pt idx="36" formatCode="0.0">
                  <c:v>16</c:v>
                </c:pt>
                <c:pt idx="37" formatCode="0.0">
                  <c:v>16</c:v>
                </c:pt>
                <c:pt idx="38" formatCode="0.0">
                  <c:v>16</c:v>
                </c:pt>
                <c:pt idx="39" formatCode="0.0">
                  <c:v>16</c:v>
                </c:pt>
                <c:pt idx="40" formatCode="0.0">
                  <c:v>16</c:v>
                </c:pt>
                <c:pt idx="41" formatCode="0.0">
                  <c:v>16</c:v>
                </c:pt>
                <c:pt idx="42" formatCode="0.00">
                  <c:v>18</c:v>
                </c:pt>
                <c:pt idx="43" formatCode="0.00">
                  <c:v>18</c:v>
                </c:pt>
                <c:pt idx="44" formatCode="0.00">
                  <c:v>19</c:v>
                </c:pt>
                <c:pt idx="45" formatCode="0.00">
                  <c:v>21</c:v>
                </c:pt>
                <c:pt idx="46" formatCode="0.00">
                  <c:v>21</c:v>
                </c:pt>
                <c:pt idx="47" formatCode="0.00">
                  <c:v>21</c:v>
                </c:pt>
                <c:pt idx="48">
                  <c:v>21</c:v>
                </c:pt>
                <c:pt idx="49">
                  <c:v>21</c:v>
                </c:pt>
                <c:pt idx="50">
                  <c:v>21</c:v>
                </c:pt>
                <c:pt idx="51">
                  <c:v>21</c:v>
                </c:pt>
                <c:pt idx="52">
                  <c:v>21</c:v>
                </c:pt>
                <c:pt idx="53">
                  <c:v>20</c:v>
                </c:pt>
                <c:pt idx="54">
                  <c:v>18</c:v>
                </c:pt>
                <c:pt idx="55">
                  <c:v>18</c:v>
                </c:pt>
                <c:pt idx="56">
                  <c:v>17</c:v>
                </c:pt>
                <c:pt idx="57">
                  <c:v>16.5</c:v>
                </c:pt>
                <c:pt idx="58">
                  <c:v>16.5</c:v>
                </c:pt>
                <c:pt idx="59" formatCode="0.0">
                  <c:v>16</c:v>
                </c:pt>
              </c:numCache>
            </c:numRef>
          </c:val>
          <c:smooth val="0"/>
          <c:extLst>
            <c:ext xmlns:c16="http://schemas.microsoft.com/office/drawing/2014/chart" uri="{C3380CC4-5D6E-409C-BE32-E72D297353CC}">
              <c16:uniqueId val="{00000002-C2A0-4142-A1B8-2863BAD083E9}"/>
            </c:ext>
          </c:extLst>
        </c:ser>
        <c:ser>
          <c:idx val="3"/>
          <c:order val="3"/>
          <c:tx>
            <c:strRef>
              <c:f>Sheet1!$C$1</c:f>
              <c:strCache>
                <c:ptCount val="1"/>
                <c:pt idx="0">
                  <c:v>ԱՄՆ</c:v>
                </c:pt>
              </c:strCache>
            </c:strRef>
          </c:tx>
          <c:spPr>
            <a:ln w="22225">
              <a:solidFill>
                <a:srgbClr val="1F497D"/>
              </a:solidFill>
            </a:ln>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Sheet1!$C$14:$C$97</c:f>
              <c:numCache>
                <c:formatCode>General</c:formatCode>
                <c:ptCount val="60"/>
                <c:pt idx="0">
                  <c:v>0.09</c:v>
                </c:pt>
                <c:pt idx="1">
                  <c:v>0.08</c:v>
                </c:pt>
                <c:pt idx="2">
                  <c:v>7.0000000000000007E-2</c:v>
                </c:pt>
                <c:pt idx="3">
                  <c:v>7.0000000000000007E-2</c:v>
                </c:pt>
                <c:pt idx="4">
                  <c:v>0.06</c:v>
                </c:pt>
                <c:pt idx="5">
                  <c:v>0.06</c:v>
                </c:pt>
                <c:pt idx="6">
                  <c:v>0.1</c:v>
                </c:pt>
                <c:pt idx="7">
                  <c:v>0.09</c:v>
                </c:pt>
                <c:pt idx="8">
                  <c:v>0.08</c:v>
                </c:pt>
                <c:pt idx="9">
                  <c:v>0.08</c:v>
                </c:pt>
                <c:pt idx="10">
                  <c:v>0.08</c:v>
                </c:pt>
                <c:pt idx="11">
                  <c:v>0.08</c:v>
                </c:pt>
                <c:pt idx="12">
                  <c:v>0.1</c:v>
                </c:pt>
                <c:pt idx="13">
                  <c:v>0.1</c:v>
                </c:pt>
                <c:pt idx="14">
                  <c:v>0.2</c:v>
                </c:pt>
                <c:pt idx="15">
                  <c:v>0.3</c:v>
                </c:pt>
                <c:pt idx="16">
                  <c:v>0.8</c:v>
                </c:pt>
                <c:pt idx="17">
                  <c:v>1.2</c:v>
                </c:pt>
                <c:pt idx="18">
                  <c:v>1.7</c:v>
                </c:pt>
                <c:pt idx="19">
                  <c:v>2.2999999999999998</c:v>
                </c:pt>
                <c:pt idx="20">
                  <c:v>2.6</c:v>
                </c:pt>
                <c:pt idx="21">
                  <c:v>3.1</c:v>
                </c:pt>
                <c:pt idx="22">
                  <c:v>3.8</c:v>
                </c:pt>
                <c:pt idx="23">
                  <c:v>4.0999999999999996</c:v>
                </c:pt>
                <c:pt idx="24" formatCode="0.00">
                  <c:v>4.3</c:v>
                </c:pt>
                <c:pt idx="25" formatCode="0.00">
                  <c:v>4.5999999999999996</c:v>
                </c:pt>
                <c:pt idx="26" formatCode="0.00">
                  <c:v>5</c:v>
                </c:pt>
                <c:pt idx="27" formatCode="0.00">
                  <c:v>5.25</c:v>
                </c:pt>
                <c:pt idx="28" formatCode="0.00">
                  <c:v>5.25</c:v>
                </c:pt>
                <c:pt idx="29" formatCode="0.00">
                  <c:v>5.25</c:v>
                </c:pt>
                <c:pt idx="30">
                  <c:v>5.5</c:v>
                </c:pt>
                <c:pt idx="31">
                  <c:v>5.5</c:v>
                </c:pt>
                <c:pt idx="32">
                  <c:v>5.5</c:v>
                </c:pt>
                <c:pt idx="33" formatCode="0.0">
                  <c:v>5.5</c:v>
                </c:pt>
                <c:pt idx="34" formatCode="0.0">
                  <c:v>5.5</c:v>
                </c:pt>
                <c:pt idx="35" formatCode="0.0">
                  <c:v>5.5</c:v>
                </c:pt>
                <c:pt idx="36" formatCode="0.00">
                  <c:v>5.5</c:v>
                </c:pt>
                <c:pt idx="37" formatCode="0.00">
                  <c:v>5.5</c:v>
                </c:pt>
                <c:pt idx="38" formatCode="0.00">
                  <c:v>5.5</c:v>
                </c:pt>
                <c:pt idx="39" formatCode="0.00">
                  <c:v>5.5</c:v>
                </c:pt>
                <c:pt idx="40" formatCode="0.00">
                  <c:v>5.5</c:v>
                </c:pt>
                <c:pt idx="41" formatCode="0.00">
                  <c:v>5.5</c:v>
                </c:pt>
                <c:pt idx="42" formatCode="0.00">
                  <c:v>5.5</c:v>
                </c:pt>
                <c:pt idx="43" formatCode="0.00">
                  <c:v>5.5</c:v>
                </c:pt>
                <c:pt idx="44" formatCode="0.00">
                  <c:v>5</c:v>
                </c:pt>
                <c:pt idx="45" formatCode="0.00">
                  <c:v>4.75</c:v>
                </c:pt>
                <c:pt idx="46" formatCode="0.00">
                  <c:v>4.75</c:v>
                </c:pt>
                <c:pt idx="47" formatCode="0.00">
                  <c:v>4.5</c:v>
                </c:pt>
                <c:pt idx="48">
                  <c:v>4.5</c:v>
                </c:pt>
                <c:pt idx="49">
                  <c:v>4.5</c:v>
                </c:pt>
                <c:pt idx="50">
                  <c:v>4.5</c:v>
                </c:pt>
                <c:pt idx="51">
                  <c:v>4.5</c:v>
                </c:pt>
                <c:pt idx="52">
                  <c:v>4.5</c:v>
                </c:pt>
                <c:pt idx="53">
                  <c:v>4.5</c:v>
                </c:pt>
                <c:pt idx="54">
                  <c:v>4.5</c:v>
                </c:pt>
                <c:pt idx="55">
                  <c:v>4.5</c:v>
                </c:pt>
                <c:pt idx="56">
                  <c:v>4.25</c:v>
                </c:pt>
                <c:pt idx="57" formatCode="0.0">
                  <c:v>4</c:v>
                </c:pt>
                <c:pt idx="58" formatCode="0.0">
                  <c:v>4</c:v>
                </c:pt>
                <c:pt idx="59">
                  <c:v>3.75</c:v>
                </c:pt>
              </c:numCache>
            </c:numRef>
          </c:val>
          <c:smooth val="0"/>
          <c:extLst>
            <c:ext xmlns:c16="http://schemas.microsoft.com/office/drawing/2014/chart" uri="{C3380CC4-5D6E-409C-BE32-E72D297353CC}">
              <c16:uniqueId val="{00000003-C2A0-4142-A1B8-2863BAD083E9}"/>
            </c:ext>
          </c:extLst>
        </c:ser>
        <c:dLbls>
          <c:showLegendKey val="0"/>
          <c:showVal val="0"/>
          <c:showCatName val="0"/>
          <c:showSerName val="0"/>
          <c:showPercent val="0"/>
          <c:showBubbleSize val="0"/>
        </c:dLbls>
        <c:smooth val="0"/>
        <c:axId val="1913058256"/>
        <c:axId val="1913056080"/>
      </c:lineChart>
      <c:catAx>
        <c:axId val="1913058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6080"/>
        <c:crosses val="autoZero"/>
        <c:auto val="1"/>
        <c:lblAlgn val="ctr"/>
        <c:lblOffset val="100"/>
        <c:noMultiLvlLbl val="0"/>
      </c:catAx>
      <c:valAx>
        <c:axId val="1913056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25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-7.6370841058418506</c:v>
                </c:pt>
                <c:pt idx="1">
                  <c:v>-3.6887560111875217</c:v>
                </c:pt>
                <c:pt idx="2">
                  <c:v>-4.1009012186373042</c:v>
                </c:pt>
                <c:pt idx="3">
                  <c:v>-1.5817145030859763</c:v>
                </c:pt>
                <c:pt idx="4">
                  <c:v>-0.59749518759555542</c:v>
                </c:pt>
                <c:pt idx="5">
                  <c:v>0.77069092469069744</c:v>
                </c:pt>
                <c:pt idx="6">
                  <c:v>0.48312333328692603</c:v>
                </c:pt>
                <c:pt idx="7">
                  <c:v>0.47181131278441057</c:v>
                </c:pt>
                <c:pt idx="8">
                  <c:v>0.28853317268861645</c:v>
                </c:pt>
                <c:pt idx="9">
                  <c:v>0.6204416546233773</c:v>
                </c:pt>
                <c:pt idx="10">
                  <c:v>1.4231067139696449</c:v>
                </c:pt>
                <c:pt idx="11">
                  <c:v>2.1766095017124059</c:v>
                </c:pt>
              </c:numCache>
            </c:numRef>
          </c:val>
          <c:smooth val="0"/>
          <c:extLst>
            <c:ext xmlns:c16="http://schemas.microsoft.com/office/drawing/2014/chart" uri="{C3380CC4-5D6E-409C-BE32-E72D297353CC}">
              <c16:uniqueId val="{00000000-9CD0-4C2C-8619-13C561ACC8B7}"/>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1.8</c:v>
                </c:pt>
                <c:pt idx="1">
                  <c:v>2</c:v>
                </c:pt>
                <c:pt idx="2">
                  <c:v>2</c:v>
                </c:pt>
                <c:pt idx="3">
                  <c:v>1.5</c:v>
                </c:pt>
                <c:pt idx="4">
                  <c:v>1.3</c:v>
                </c:pt>
                <c:pt idx="5">
                  <c:v>1.2</c:v>
                </c:pt>
                <c:pt idx="6">
                  <c:v>1.2</c:v>
                </c:pt>
                <c:pt idx="7">
                  <c:v>1.2</c:v>
                </c:pt>
                <c:pt idx="8">
                  <c:v>1.2</c:v>
                </c:pt>
                <c:pt idx="9">
                  <c:v>1.2</c:v>
                </c:pt>
                <c:pt idx="10">
                  <c:v>1.3</c:v>
                </c:pt>
                <c:pt idx="11">
                  <c:v>1.5</c:v>
                </c:pt>
              </c:numCache>
            </c:numRef>
          </c:val>
          <c:smooth val="0"/>
          <c:extLst>
            <c:ext xmlns:c16="http://schemas.microsoft.com/office/drawing/2014/chart" uri="{C3380CC4-5D6E-409C-BE32-E72D297353CC}">
              <c16:uniqueId val="{00000001-9CD0-4C2C-8619-13C561ACC8B7}"/>
            </c:ext>
          </c:extLst>
        </c:ser>
        <c:dLbls>
          <c:showLegendKey val="0"/>
          <c:showVal val="0"/>
          <c:showCatName val="0"/>
          <c:showSerName val="0"/>
          <c:showPercent val="0"/>
          <c:showBubbleSize val="0"/>
        </c:dLbls>
        <c:marker val="1"/>
        <c:smooth val="0"/>
        <c:axId val="612017952"/>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-27.754657602401892</c:v>
                </c:pt>
                <c:pt idx="1">
                  <c:v>-44.148089065954565</c:v>
                </c:pt>
                <c:pt idx="2">
                  <c:v>-46.014573778990375</c:v>
                </c:pt>
                <c:pt idx="3">
                  <c:v>-45.887546790809161</c:v>
                </c:pt>
                <c:pt idx="4">
                  <c:v>-42.089715598625361</c:v>
                </c:pt>
                <c:pt idx="5">
                  <c:v>-39.721126645072907</c:v>
                </c:pt>
                <c:pt idx="6">
                  <c:v>-36.891261130230085</c:v>
                </c:pt>
                <c:pt idx="7">
                  <c:v>-35.982870948953135</c:v>
                </c:pt>
                <c:pt idx="8">
                  <c:v>-33.927497288417172</c:v>
                </c:pt>
                <c:pt idx="9">
                  <c:v>-32.203703125737576</c:v>
                </c:pt>
                <c:pt idx="10">
                  <c:v>-29.411921801238989</c:v>
                </c:pt>
                <c:pt idx="11">
                  <c:v>-26.352770412028889</c:v>
                </c:pt>
              </c:numCache>
            </c:numRef>
          </c:val>
          <c:smooth val="0"/>
          <c:extLst>
            <c:ext xmlns:c16="http://schemas.microsoft.com/office/drawing/2014/chart" uri="{C3380CC4-5D6E-409C-BE32-E72D297353CC}">
              <c16:uniqueId val="{00000002-9CD0-4C2C-8619-13C561ACC8B7}"/>
            </c:ext>
          </c:extLst>
        </c:ser>
        <c:dLbls>
          <c:showLegendKey val="0"/>
          <c:showVal val="0"/>
          <c:showCatName val="0"/>
          <c:showSerName val="0"/>
          <c:showPercent val="0"/>
          <c:showBubbleSize val="0"/>
        </c:dLbls>
        <c:marker val="1"/>
        <c:smooth val="0"/>
        <c:axId val="179281712"/>
        <c:axId val="179279632"/>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majorUnit val="20"/>
      </c:valAx>
      <c:valAx>
        <c:axId val="179279632"/>
        <c:scaling>
          <c:orientation val="minMax"/>
        </c:scaling>
        <c:delete val="0"/>
        <c:axPos val="r"/>
        <c:numFmt formatCode="0" sourceLinked="1"/>
        <c:majorTickMark val="out"/>
        <c:minorTickMark val="none"/>
        <c:tickLblPos val="nextTo"/>
        <c:crossAx val="179281712"/>
        <c:crosses val="max"/>
        <c:crossBetween val="between"/>
      </c:valAx>
      <c:catAx>
        <c:axId val="179281712"/>
        <c:scaling>
          <c:orientation val="minMax"/>
        </c:scaling>
        <c:delete val="1"/>
        <c:axPos val="b"/>
        <c:numFmt formatCode="General" sourceLinked="1"/>
        <c:majorTickMark val="out"/>
        <c:minorTickMark val="none"/>
        <c:tickLblPos val="nextTo"/>
        <c:crossAx val="179279632"/>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2019</c:v>
                </c:pt>
              </c:strCache>
            </c:strRef>
          </c:tx>
          <c:spPr>
            <a:solidFill>
              <a:schemeClr val="accent1">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Sheet1!$B$2:$B$4</c:f>
              <c:numCache>
                <c:formatCode>0</c:formatCode>
                <c:ptCount val="3"/>
                <c:pt idx="0">
                  <c:v>1894.377</c:v>
                </c:pt>
                <c:pt idx="1">
                  <c:v>430.02357899999998</c:v>
                </c:pt>
                <c:pt idx="2">
                  <c:v>1464.353421</c:v>
                </c:pt>
              </c:numCache>
            </c:numRef>
          </c:val>
          <c:extLst>
            <c:ext xmlns:c16="http://schemas.microsoft.com/office/drawing/2014/chart" uri="{C3380CC4-5D6E-409C-BE32-E72D297353CC}">
              <c16:uniqueId val="{00000000-11B7-4010-87A0-A72E33E830D5}"/>
            </c:ext>
          </c:extLst>
        </c:ser>
        <c:ser>
          <c:idx val="1"/>
          <c:order val="1"/>
          <c:tx>
            <c:strRef>
              <c:f>Sheet1!$C$1</c:f>
              <c:strCache>
                <c:ptCount val="1"/>
                <c:pt idx="0">
                  <c:v>2020</c:v>
                </c:pt>
              </c:strCache>
            </c:strRef>
          </c:tx>
          <c:spPr>
            <a:solidFill>
              <a:schemeClr val="accent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360.33800000000002</c:v>
                </c:pt>
                <c:pt idx="1">
                  <c:v>146.33424000000002</c:v>
                </c:pt>
                <c:pt idx="2">
                  <c:v>214.00376</c:v>
                </c:pt>
              </c:numCache>
            </c:numRef>
          </c:val>
          <c:extLst>
            <c:ext xmlns:c16="http://schemas.microsoft.com/office/drawing/2014/chart" uri="{C3380CC4-5D6E-409C-BE32-E72D297353CC}">
              <c16:uniqueId val="{00000001-11B7-4010-87A0-A72E33E830D5}"/>
            </c:ext>
          </c:extLst>
        </c:ser>
        <c:ser>
          <c:idx val="2"/>
          <c:order val="2"/>
          <c:tx>
            <c:strRef>
              <c:f>Sheet1!$D$1</c:f>
              <c:strCache>
                <c:ptCount val="1"/>
                <c:pt idx="0">
                  <c:v>2021</c:v>
                </c:pt>
              </c:strCache>
            </c:strRef>
          </c:tx>
          <c:spPr>
            <a:solidFill>
              <a:schemeClr val="bg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875.77200000000005</c:v>
                </c:pt>
                <c:pt idx="1">
                  <c:v>351.80099999999999</c:v>
                </c:pt>
                <c:pt idx="2">
                  <c:v>523.971</c:v>
                </c:pt>
              </c:numCache>
            </c:numRef>
          </c:val>
          <c:extLst>
            <c:ext xmlns:c16="http://schemas.microsoft.com/office/drawing/2014/chart" uri="{C3380CC4-5D6E-409C-BE32-E72D297353CC}">
              <c16:uniqueId val="{00000002-11B7-4010-87A0-A72E33E830D5}"/>
            </c:ext>
          </c:extLst>
        </c:ser>
        <c:ser>
          <c:idx val="3"/>
          <c:order val="3"/>
          <c:tx>
            <c:strRef>
              <c:f>Sheet1!$E$1</c:f>
              <c:strCache>
                <c:ptCount val="1"/>
                <c:pt idx="0">
                  <c:v>2022</c:v>
                </c:pt>
              </c:strCache>
            </c:strRef>
          </c:tx>
          <c:spPr>
            <a:solidFill>
              <a:schemeClr val="accent6">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1665.6579999999999</c:v>
                </c:pt>
                <c:pt idx="1">
                  <c:v>790.39700000000005</c:v>
                </c:pt>
                <c:pt idx="2">
                  <c:v>875.26099999999985</c:v>
                </c:pt>
              </c:numCache>
            </c:numRef>
          </c:val>
          <c:extLst>
            <c:ext xmlns:c16="http://schemas.microsoft.com/office/drawing/2014/chart" uri="{C3380CC4-5D6E-409C-BE32-E72D297353CC}">
              <c16:uniqueId val="{00000003-11B7-4010-87A0-A72E33E830D5}"/>
            </c:ext>
          </c:extLst>
        </c:ser>
        <c:ser>
          <c:idx val="4"/>
          <c:order val="4"/>
          <c:tx>
            <c:strRef>
              <c:f>Sheet1!$F$1</c:f>
              <c:strCache>
                <c:ptCount val="1"/>
                <c:pt idx="0">
                  <c:v>2023</c:v>
                </c:pt>
              </c:strCache>
            </c:strRef>
          </c:tx>
          <c:spPr>
            <a:solidFill>
              <a:srgbClr val="4BACC6"/>
            </a:solidFill>
            <a:ln w="25394">
              <a:noFill/>
            </a:ln>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2316.21</c:v>
                </c:pt>
                <c:pt idx="1">
                  <c:v>1139.8530000000001</c:v>
                </c:pt>
                <c:pt idx="2">
                  <c:v>1176.357</c:v>
                </c:pt>
              </c:numCache>
            </c:numRef>
          </c:val>
          <c:extLst>
            <c:ext xmlns:c16="http://schemas.microsoft.com/office/drawing/2014/chart" uri="{C3380CC4-5D6E-409C-BE32-E72D297353CC}">
              <c16:uniqueId val="{00000004-11B7-4010-87A0-A72E33E830D5}"/>
            </c:ext>
          </c:extLst>
        </c:ser>
        <c:ser>
          <c:idx val="5"/>
          <c:order val="5"/>
          <c:tx>
            <c:strRef>
              <c:f>Sheet1!$G$1</c:f>
              <c:strCache>
                <c:ptCount val="1"/>
                <c:pt idx="0">
                  <c:v>2024</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2208.1790000000001</c:v>
                </c:pt>
                <c:pt idx="1">
                  <c:v>937.82299999999998</c:v>
                </c:pt>
                <c:pt idx="2">
                  <c:v>1270.3560000000002</c:v>
                </c:pt>
              </c:numCache>
            </c:numRef>
          </c:val>
          <c:extLst>
            <c:ext xmlns:c16="http://schemas.microsoft.com/office/drawing/2014/chart" uri="{C3380CC4-5D6E-409C-BE32-E72D297353CC}">
              <c16:uniqueId val="{00000005-11B7-4010-87A0-A72E33E830D5}"/>
            </c:ext>
          </c:extLst>
        </c:ser>
        <c:ser>
          <c:idx val="6"/>
          <c:order val="6"/>
          <c:tx>
            <c:strRef>
              <c:f>Sheet1!$H$1</c:f>
              <c:strCache>
                <c:ptCount val="1"/>
                <c:pt idx="0">
                  <c:v>2025</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Sheet1!$H$2:$H$4</c:f>
              <c:numCache>
                <c:formatCode>0</c:formatCode>
                <c:ptCount val="3"/>
                <c:pt idx="0">
                  <c:v>2263.6419999999998</c:v>
                </c:pt>
                <c:pt idx="1">
                  <c:v>921.70399999999995</c:v>
                </c:pt>
                <c:pt idx="2">
                  <c:v>1341.9379999999999</c:v>
                </c:pt>
              </c:numCache>
            </c:numRef>
          </c:val>
          <c:extLst>
            <c:ext xmlns:c16="http://schemas.microsoft.com/office/drawing/2014/chart" uri="{C3380CC4-5D6E-409C-BE32-E72D297353CC}">
              <c16:uniqueId val="{00000006-11B7-4010-87A0-A72E33E830D5}"/>
            </c:ext>
          </c:extLst>
        </c:ser>
        <c:dLbls>
          <c:showLegendKey val="0"/>
          <c:showVal val="0"/>
          <c:showCatName val="0"/>
          <c:showSerName val="0"/>
          <c:showPercent val="0"/>
          <c:showBubbleSize val="0"/>
        </c:dLbls>
        <c:gapWidth val="219"/>
        <c:overlap val="-27"/>
        <c:axId val="612018784"/>
        <c:axId val="1"/>
      </c:barChart>
      <c:catAx>
        <c:axId val="612018784"/>
        <c:scaling>
          <c:orientation val="minMax"/>
        </c:scaling>
        <c:delete val="0"/>
        <c:axPos val="b"/>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ln w="9523">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96237413884473"/>
          <c:y val="7.17857142857143E-2"/>
          <c:w val="0.87027844889818029"/>
          <c:h val="0.78457036620422449"/>
        </c:manualLayout>
      </c:layout>
      <c:lineChart>
        <c:grouping val="standard"/>
        <c:varyColors val="0"/>
        <c:ser>
          <c:idx val="0"/>
          <c:order val="0"/>
          <c:tx>
            <c:strRef>
              <c:f>Sheet1!$A$2</c:f>
              <c:strCache>
                <c:ptCount val="1"/>
                <c:pt idx="0">
                  <c:v>2021</c:v>
                </c:pt>
              </c:strCache>
            </c:strRef>
          </c:tx>
          <c:spPr>
            <a:ln w="28575" cap="rnd">
              <a:solidFill>
                <a:schemeClr val="accent3">
                  <a:lumMod val="75000"/>
                </a:schemeClr>
              </a:solidFill>
              <a:prstDash val="sys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Sheet1!$B$2:$M$2</c:f>
              <c:numCache>
                <c:formatCode>0</c:formatCode>
                <c:ptCount val="12"/>
                <c:pt idx="0">
                  <c:v>32.308639999999997</c:v>
                </c:pt>
                <c:pt idx="1">
                  <c:v>63.224430000000005</c:v>
                </c:pt>
                <c:pt idx="2">
                  <c:v>129.08414999999999</c:v>
                </c:pt>
                <c:pt idx="3">
                  <c:v>203.18975</c:v>
                </c:pt>
                <c:pt idx="4">
                  <c:v>281.46091999999999</c:v>
                </c:pt>
                <c:pt idx="5">
                  <c:v>382.88213999999999</c:v>
                </c:pt>
                <c:pt idx="6">
                  <c:v>483.59131000000002</c:v>
                </c:pt>
                <c:pt idx="7">
                  <c:v>576.32835999999998</c:v>
                </c:pt>
                <c:pt idx="8">
                  <c:v>670.21160999999995</c:v>
                </c:pt>
                <c:pt idx="9">
                  <c:v>742.98815000000002</c:v>
                </c:pt>
                <c:pt idx="10">
                  <c:v>806.02742000000001</c:v>
                </c:pt>
                <c:pt idx="11">
                  <c:v>883.31452999999999</c:v>
                </c:pt>
              </c:numCache>
            </c:numRef>
          </c:val>
          <c:smooth val="0"/>
          <c:extLst>
            <c:ext xmlns:c16="http://schemas.microsoft.com/office/drawing/2014/chart" uri="{C3380CC4-5D6E-409C-BE32-E72D297353CC}">
              <c16:uniqueId val="{00000000-84C0-44F8-9EB3-79CE6546BA2E}"/>
            </c:ext>
          </c:extLst>
        </c:ser>
        <c:ser>
          <c:idx val="1"/>
          <c:order val="1"/>
          <c:tx>
            <c:strRef>
              <c:f>Sheet1!$A$3</c:f>
              <c:strCache>
                <c:ptCount val="1"/>
                <c:pt idx="0">
                  <c:v>2022</c:v>
                </c:pt>
              </c:strCache>
            </c:strRef>
          </c:tx>
          <c:spPr>
            <a:ln w="28575" cap="rnd">
              <a:solidFill>
                <a:schemeClr val="accent6">
                  <a:lumMod val="60000"/>
                  <a:lumOff val="40000"/>
                </a:schemeClr>
              </a:solidFill>
              <a:prstDash val="sys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Sheet1!$B$3:$M$3</c:f>
              <c:numCache>
                <c:formatCode>0</c:formatCode>
                <c:ptCount val="12"/>
                <c:pt idx="0">
                  <c:v>40.456869999999995</c:v>
                </c:pt>
                <c:pt idx="1">
                  <c:v>96.559210000000007</c:v>
                </c:pt>
                <c:pt idx="2">
                  <c:v>190.29342</c:v>
                </c:pt>
                <c:pt idx="3">
                  <c:v>356.88243999999992</c:v>
                </c:pt>
                <c:pt idx="4">
                  <c:v>625.98016999999993</c:v>
                </c:pt>
                <c:pt idx="5">
                  <c:v>993.92444999999998</c:v>
                </c:pt>
                <c:pt idx="6">
                  <c:v>1129.3202699999999</c:v>
                </c:pt>
                <c:pt idx="7">
                  <c:v>1420.5126400000001</c:v>
                </c:pt>
                <c:pt idx="8">
                  <c:v>1729.5370700000001</c:v>
                </c:pt>
                <c:pt idx="9">
                  <c:v>2056.46036</c:v>
                </c:pt>
                <c:pt idx="10">
                  <c:v>2281.7817200000004</c:v>
                </c:pt>
                <c:pt idx="11">
                  <c:v>2583.6442099999999</c:v>
                </c:pt>
              </c:numCache>
            </c:numRef>
          </c:val>
          <c:smooth val="0"/>
          <c:extLst>
            <c:ext xmlns:c16="http://schemas.microsoft.com/office/drawing/2014/chart" uri="{C3380CC4-5D6E-409C-BE32-E72D297353CC}">
              <c16:uniqueId val="{00000001-84C0-44F8-9EB3-79CE6546BA2E}"/>
            </c:ext>
          </c:extLst>
        </c:ser>
        <c:ser>
          <c:idx val="2"/>
          <c:order val="2"/>
          <c:tx>
            <c:strRef>
              <c:f>Sheet1!$A$4</c:f>
              <c:strCache>
                <c:ptCount val="1"/>
                <c:pt idx="0">
                  <c:v>2023</c:v>
                </c:pt>
              </c:strCache>
            </c:strRef>
          </c:tx>
          <c:spPr>
            <a:ln w="28575" cap="rnd">
              <a:solidFill>
                <a:schemeClr val="accent4">
                  <a:lumMod val="60000"/>
                  <a:lumOff val="40000"/>
                </a:schemeClr>
              </a:solidFill>
              <a:prstDash val="sys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Sheet1!$B$4:$M$4</c:f>
              <c:numCache>
                <c:formatCode>0</c:formatCode>
                <c:ptCount val="12"/>
                <c:pt idx="0">
                  <c:v>170.19200999999998</c:v>
                </c:pt>
                <c:pt idx="1">
                  <c:v>502.31756000000007</c:v>
                </c:pt>
                <c:pt idx="2">
                  <c:v>553.18916000000013</c:v>
                </c:pt>
                <c:pt idx="3">
                  <c:v>719.74454000000014</c:v>
                </c:pt>
                <c:pt idx="4">
                  <c:v>767.29878000000019</c:v>
                </c:pt>
                <c:pt idx="5">
                  <c:v>897.68380000000002</c:v>
                </c:pt>
                <c:pt idx="6">
                  <c:v>1031.0321900000001</c:v>
                </c:pt>
                <c:pt idx="7">
                  <c:v>1233.4117000000001</c:v>
                </c:pt>
                <c:pt idx="8">
                  <c:v>1330.3843300000001</c:v>
                </c:pt>
                <c:pt idx="9">
                  <c:v>1455.76836</c:v>
                </c:pt>
                <c:pt idx="10">
                  <c:v>1495.3931</c:v>
                </c:pt>
                <c:pt idx="11">
                  <c:v>1654.7126500000002</c:v>
                </c:pt>
              </c:numCache>
            </c:numRef>
          </c:val>
          <c:smooth val="0"/>
          <c:extLst>
            <c:ext xmlns:c16="http://schemas.microsoft.com/office/drawing/2014/chart" uri="{C3380CC4-5D6E-409C-BE32-E72D297353CC}">
              <c16:uniqueId val="{00000002-84C0-44F8-9EB3-79CE6546BA2E}"/>
            </c:ext>
          </c:extLst>
        </c:ser>
        <c:ser>
          <c:idx val="3"/>
          <c:order val="3"/>
          <c:tx>
            <c:strRef>
              <c:f>Sheet1!$A$5</c:f>
              <c:strCache>
                <c:ptCount val="1"/>
                <c:pt idx="0">
                  <c:v>2024</c:v>
                </c:pt>
              </c:strCache>
            </c:strRef>
          </c:tx>
          <c:spPr>
            <a:ln w="28575" cap="rnd">
              <a:solidFill>
                <a:schemeClr val="tx2">
                  <a:lumMod val="40000"/>
                  <a:lumOff val="60000"/>
                </a:schemeClr>
              </a:solidFill>
              <a:prstDash val="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Sheet1!$B$5:$M$5</c:f>
              <c:numCache>
                <c:formatCode>0</c:formatCode>
                <c:ptCount val="12"/>
                <c:pt idx="0">
                  <c:v>32.822600000000001</c:v>
                </c:pt>
                <c:pt idx="1">
                  <c:v>153.86497</c:v>
                </c:pt>
                <c:pt idx="2">
                  <c:v>278.55962</c:v>
                </c:pt>
                <c:pt idx="3">
                  <c:v>327.52072999999996</c:v>
                </c:pt>
                <c:pt idx="4">
                  <c:v>449.36702000000002</c:v>
                </c:pt>
                <c:pt idx="5">
                  <c:v>595.40819999999997</c:v>
                </c:pt>
                <c:pt idx="6">
                  <c:v>758.68880999999999</c:v>
                </c:pt>
                <c:pt idx="7">
                  <c:v>790.74393999999995</c:v>
                </c:pt>
                <c:pt idx="8">
                  <c:v>887.98018999999999</c:v>
                </c:pt>
                <c:pt idx="9">
                  <c:v>1047.9971599999999</c:v>
                </c:pt>
                <c:pt idx="10">
                  <c:v>1124.4194299999999</c:v>
                </c:pt>
                <c:pt idx="11">
                  <c:v>1509.3740999999998</c:v>
                </c:pt>
              </c:numCache>
            </c:numRef>
          </c:val>
          <c:smooth val="0"/>
          <c:extLst>
            <c:ext xmlns:c16="http://schemas.microsoft.com/office/drawing/2014/chart" uri="{C3380CC4-5D6E-409C-BE32-E72D297353CC}">
              <c16:uniqueId val="{00000003-84C0-44F8-9EB3-79CE6546BA2E}"/>
            </c:ext>
          </c:extLst>
        </c:ser>
        <c:ser>
          <c:idx val="4"/>
          <c:order val="4"/>
          <c:tx>
            <c:strRef>
              <c:f>Sheet1!$A$6</c:f>
              <c:strCache>
                <c:ptCount val="1"/>
                <c:pt idx="0">
                  <c:v>2025</c:v>
                </c:pt>
              </c:strCache>
            </c:strRef>
          </c:tx>
          <c:spPr>
            <a:ln w="28575" cap="rnd">
              <a:solidFill>
                <a:srgbClr val="0070C0"/>
              </a:solidFill>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Sheet1!$B$6:$M$6</c:f>
              <c:numCache>
                <c:formatCode>0</c:formatCode>
                <c:ptCount val="12"/>
                <c:pt idx="0">
                  <c:v>18.70975</c:v>
                </c:pt>
                <c:pt idx="1">
                  <c:v>87.531809999999993</c:v>
                </c:pt>
                <c:pt idx="2">
                  <c:v>143.68816999999999</c:v>
                </c:pt>
                <c:pt idx="3">
                  <c:v>273.40594999999996</c:v>
                </c:pt>
                <c:pt idx="4">
                  <c:v>511.72212000000002</c:v>
                </c:pt>
                <c:pt idx="5">
                  <c:v>587.61704000000009</c:v>
                </c:pt>
                <c:pt idx="6">
                  <c:v>716.61896000000013</c:v>
                </c:pt>
                <c:pt idx="7">
                  <c:v>889.32521000000008</c:v>
                </c:pt>
                <c:pt idx="8">
                  <c:v>1025.4422</c:v>
                </c:pt>
                <c:pt idx="9">
                  <c:v>1147.5584000000001</c:v>
                </c:pt>
                <c:pt idx="10">
                  <c:v>1324.4709400000002</c:v>
                </c:pt>
                <c:pt idx="11">
                  <c:v>1639.52883</c:v>
                </c:pt>
              </c:numCache>
            </c:numRef>
          </c:val>
          <c:smooth val="0"/>
          <c:extLst>
            <c:ext xmlns:c16="http://schemas.microsoft.com/office/drawing/2014/chart" uri="{C3380CC4-5D6E-409C-BE32-E72D297353CC}">
              <c16:uniqueId val="{00000004-84C0-44F8-9EB3-79CE6546BA2E}"/>
            </c:ext>
          </c:extLst>
        </c:ser>
        <c:dLbls>
          <c:showLegendKey val="0"/>
          <c:showVal val="0"/>
          <c:showCatName val="0"/>
          <c:showSerName val="0"/>
          <c:showPercent val="0"/>
          <c:showBubbleSize val="0"/>
        </c:dLbls>
        <c:smooth val="0"/>
        <c:axId val="500102112"/>
        <c:axId val="500107104"/>
      </c:lineChart>
      <c:catAx>
        <c:axId val="500102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0107104"/>
        <c:crosses val="autoZero"/>
        <c:auto val="1"/>
        <c:lblAlgn val="ctr"/>
        <c:lblOffset val="100"/>
        <c:noMultiLvlLbl val="0"/>
      </c:catAx>
      <c:valAx>
        <c:axId val="500107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մլն դոլար</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0102112"/>
        <c:crosses val="autoZero"/>
        <c:crossBetween val="between"/>
      </c:valAx>
      <c:spPr>
        <a:noFill/>
        <a:ln>
          <a:noFill/>
        </a:ln>
        <a:effectLst/>
      </c:spPr>
    </c:plotArea>
    <c:legend>
      <c:legendPos val="r"/>
      <c:layout>
        <c:manualLayout>
          <c:xMode val="edge"/>
          <c:yMode val="edge"/>
          <c:x val="0.13609782030834663"/>
          <c:y val="7.8984657119202384E-2"/>
          <c:w val="0.33366738248628014"/>
          <c:h val="0.3273666966125878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61145150014247"/>
          <c:y val="4.3650793650793648E-2"/>
          <c:w val="0.79432298567978588"/>
          <c:h val="0.57743812243249826"/>
        </c:manualLayout>
      </c:layout>
      <c:barChart>
        <c:barDir val="col"/>
        <c:grouping val="stacked"/>
        <c:varyColors val="0"/>
        <c:ser>
          <c:idx val="1"/>
          <c:order val="0"/>
          <c:tx>
            <c:strRef>
              <c:f>Sheet1!$C$1</c:f>
              <c:strCache>
                <c:ptCount val="1"/>
                <c:pt idx="0">
                  <c:v>Դոլար</c:v>
                </c:pt>
              </c:strCache>
            </c:strRef>
          </c:tx>
          <c:spPr>
            <a:solidFill>
              <a:sysClr val="window" lastClr="FFFFFF">
                <a:lumMod val="50000"/>
              </a:sysClr>
            </a:solidFill>
            <a:ln>
              <a:noFill/>
            </a:ln>
            <a:effectLst>
              <a:outerShdw blurRad="40000" dist="23000" dir="5400000" rotWithShape="0">
                <a:srgbClr val="000000">
                  <a:alpha val="35000"/>
                </a:srgbClr>
              </a:outerShdw>
            </a:effectLst>
          </c:spPr>
          <c:invertIfNegative val="0"/>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Sheet1!$C$14:$C$33</c:f>
              <c:numCache>
                <c:formatCode>0</c:formatCode>
                <c:ptCount val="20"/>
                <c:pt idx="0">
                  <c:v>-44.764182000000062</c:v>
                </c:pt>
                <c:pt idx="1">
                  <c:v>-47.872495999999956</c:v>
                </c:pt>
                <c:pt idx="2">
                  <c:v>-37.628922000000017</c:v>
                </c:pt>
                <c:pt idx="3">
                  <c:v>22.342673000000104</c:v>
                </c:pt>
                <c:pt idx="4">
                  <c:v>82.827041122292655</c:v>
                </c:pt>
                <c:pt idx="5">
                  <c:v>-50.18449343652253</c:v>
                </c:pt>
                <c:pt idx="6">
                  <c:v>-228.23183459037764</c:v>
                </c:pt>
                <c:pt idx="7">
                  <c:v>-326.58099857808588</c:v>
                </c:pt>
                <c:pt idx="8">
                  <c:v>-198.37948549629041</c:v>
                </c:pt>
                <c:pt idx="9">
                  <c:v>-28.113131581316082</c:v>
                </c:pt>
                <c:pt idx="10">
                  <c:v>-65.45136207846366</c:v>
                </c:pt>
                <c:pt idx="11">
                  <c:v>-277.075267131891</c:v>
                </c:pt>
                <c:pt idx="12">
                  <c:v>-316.72390526903303</c:v>
                </c:pt>
                <c:pt idx="13">
                  <c:v>-445.3869904856632</c:v>
                </c:pt>
                <c:pt idx="14">
                  <c:v>-336.34744169712991</c:v>
                </c:pt>
                <c:pt idx="15">
                  <c:v>-186.17634767990333</c:v>
                </c:pt>
                <c:pt idx="16">
                  <c:v>-274.18427546061059</c:v>
                </c:pt>
                <c:pt idx="17">
                  <c:v>-483.31697861144607</c:v>
                </c:pt>
                <c:pt idx="18">
                  <c:v>-348.39246185011223</c:v>
                </c:pt>
                <c:pt idx="19">
                  <c:v>-93.997638661709914</c:v>
                </c:pt>
              </c:numCache>
            </c:numRef>
          </c:val>
          <c:extLst>
            <c:ext xmlns:c16="http://schemas.microsoft.com/office/drawing/2014/chart" uri="{C3380CC4-5D6E-409C-BE32-E72D297353CC}">
              <c16:uniqueId val="{00000000-0E76-41BF-8FE1-A41DCB8E4E3B}"/>
            </c:ext>
          </c:extLst>
        </c:ser>
        <c:ser>
          <c:idx val="2"/>
          <c:order val="1"/>
          <c:tx>
            <c:strRef>
              <c:f>Sheet1!$D$1</c:f>
              <c:strCache>
                <c:ptCount val="1"/>
                <c:pt idx="0">
                  <c:v>Եվրո</c:v>
                </c:pt>
              </c:strCache>
            </c:strRef>
          </c:tx>
          <c:spPr>
            <a:solidFill>
              <a:srgbClr val="F79646">
                <a:lumMod val="60000"/>
                <a:lumOff val="40000"/>
              </a:srgbClr>
            </a:solidFill>
            <a:ln>
              <a:noFill/>
            </a:ln>
            <a:effectLst>
              <a:outerShdw blurRad="40000" dist="23000" dir="5400000" rotWithShape="0">
                <a:srgbClr val="000000">
                  <a:alpha val="35000"/>
                </a:srgbClr>
              </a:outerShdw>
            </a:effectLst>
          </c:spPr>
          <c:invertIfNegative val="0"/>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Sheet1!$D$14:$D$33</c:f>
              <c:numCache>
                <c:formatCode>0</c:formatCode>
                <c:ptCount val="20"/>
                <c:pt idx="0">
                  <c:v>-37.588152999999991</c:v>
                </c:pt>
                <c:pt idx="1">
                  <c:v>-44.314930999999994</c:v>
                </c:pt>
                <c:pt idx="2">
                  <c:v>-3.6870990000000035</c:v>
                </c:pt>
                <c:pt idx="3">
                  <c:v>-47.701574000000008</c:v>
                </c:pt>
                <c:pt idx="4">
                  <c:v>38.055483617751023</c:v>
                </c:pt>
                <c:pt idx="5">
                  <c:v>-116.1097406218162</c:v>
                </c:pt>
                <c:pt idx="6">
                  <c:v>-151.48745476086947</c:v>
                </c:pt>
                <c:pt idx="7">
                  <c:v>-157.53865432476795</c:v>
                </c:pt>
                <c:pt idx="8">
                  <c:v>-174.3801129556517</c:v>
                </c:pt>
                <c:pt idx="9">
                  <c:v>-140.58972851489443</c:v>
                </c:pt>
                <c:pt idx="10">
                  <c:v>-123.25717668806097</c:v>
                </c:pt>
                <c:pt idx="11">
                  <c:v>-66.186420115155897</c:v>
                </c:pt>
                <c:pt idx="12">
                  <c:v>-260.11307755782582</c:v>
                </c:pt>
                <c:pt idx="13">
                  <c:v>-268.20698948128222</c:v>
                </c:pt>
                <c:pt idx="14">
                  <c:v>-191.93912526345309</c:v>
                </c:pt>
                <c:pt idx="15">
                  <c:v>-95.00717477615531</c:v>
                </c:pt>
                <c:pt idx="16">
                  <c:v>-195.15619736876815</c:v>
                </c:pt>
                <c:pt idx="17">
                  <c:v>-124.24626380965083</c:v>
                </c:pt>
                <c:pt idx="18">
                  <c:v>-107.03368436569612</c:v>
                </c:pt>
                <c:pt idx="19">
                  <c:v>-104.21024619901783</c:v>
                </c:pt>
              </c:numCache>
            </c:numRef>
          </c:val>
          <c:extLst>
            <c:ext xmlns:c16="http://schemas.microsoft.com/office/drawing/2014/chart" uri="{C3380CC4-5D6E-409C-BE32-E72D297353CC}">
              <c16:uniqueId val="{00000001-0E76-41BF-8FE1-A41DCB8E4E3B}"/>
            </c:ext>
          </c:extLst>
        </c:ser>
        <c:ser>
          <c:idx val="3"/>
          <c:order val="2"/>
          <c:tx>
            <c:strRef>
              <c:f>Sheet1!$E$1</c:f>
              <c:strCache>
                <c:ptCount val="1"/>
                <c:pt idx="0">
                  <c:v>Ռուբլի</c:v>
                </c:pt>
              </c:strCache>
            </c:strRef>
          </c:tx>
          <c:spPr>
            <a:solidFill>
              <a:srgbClr val="4F81BD">
                <a:lumMod val="75000"/>
              </a:srgbClr>
            </a:solidFill>
          </c:spPr>
          <c:invertIfNegative val="0"/>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Sheet1!$E$14:$E$33</c:f>
              <c:numCache>
                <c:formatCode>0</c:formatCode>
                <c:ptCount val="20"/>
                <c:pt idx="0">
                  <c:v>5.1814139999999966</c:v>
                </c:pt>
                <c:pt idx="1">
                  <c:v>56.355378999999999</c:v>
                </c:pt>
                <c:pt idx="2">
                  <c:v>9.5786869999999951</c:v>
                </c:pt>
                <c:pt idx="3">
                  <c:v>13.216616999999999</c:v>
                </c:pt>
                <c:pt idx="4">
                  <c:v>-31.598552698007609</c:v>
                </c:pt>
                <c:pt idx="5">
                  <c:v>190.46627119187258</c:v>
                </c:pt>
                <c:pt idx="6">
                  <c:v>423.24379297671146</c:v>
                </c:pt>
                <c:pt idx="7">
                  <c:v>550.39308050890099</c:v>
                </c:pt>
                <c:pt idx="8">
                  <c:v>436.38517693931055</c:v>
                </c:pt>
                <c:pt idx="9">
                  <c:v>376.39776191044848</c:v>
                </c:pt>
                <c:pt idx="10">
                  <c:v>295.20506021620588</c:v>
                </c:pt>
                <c:pt idx="11">
                  <c:v>329.02931109999389</c:v>
                </c:pt>
                <c:pt idx="12">
                  <c:v>510.11131165943925</c:v>
                </c:pt>
                <c:pt idx="13">
                  <c:v>756.80093481593372</c:v>
                </c:pt>
                <c:pt idx="14">
                  <c:v>585.80935789113983</c:v>
                </c:pt>
                <c:pt idx="15">
                  <c:v>252.97979954024794</c:v>
                </c:pt>
                <c:pt idx="16">
                  <c:v>509.8131998896074</c:v>
                </c:pt>
                <c:pt idx="17">
                  <c:v>802.22652830473851</c:v>
                </c:pt>
                <c:pt idx="18">
                  <c:v>626.5788885212886</c:v>
                </c:pt>
                <c:pt idx="19">
                  <c:v>364.8998661785842</c:v>
                </c:pt>
              </c:numCache>
            </c:numRef>
          </c:val>
          <c:extLst>
            <c:ext xmlns:c16="http://schemas.microsoft.com/office/drawing/2014/chart" uri="{C3380CC4-5D6E-409C-BE32-E72D297353CC}">
              <c16:uniqueId val="{00000002-0E76-41BF-8FE1-A41DCB8E4E3B}"/>
            </c:ext>
          </c:extLst>
        </c:ser>
        <c:dLbls>
          <c:showLegendKey val="0"/>
          <c:showVal val="0"/>
          <c:showCatName val="0"/>
          <c:showSerName val="0"/>
          <c:showPercent val="0"/>
          <c:showBubbleSize val="0"/>
        </c:dLbls>
        <c:gapWidth val="100"/>
        <c:overlap val="100"/>
        <c:axId val="806771312"/>
        <c:axId val="1"/>
      </c:barChart>
      <c:lineChart>
        <c:grouping val="standard"/>
        <c:varyColors val="0"/>
        <c:ser>
          <c:idx val="0"/>
          <c:order val="3"/>
          <c:tx>
            <c:strRef>
              <c:f>Sheet1!$F$1</c:f>
              <c:strCache>
                <c:ptCount val="1"/>
                <c:pt idx="0">
                  <c:v>Զուտ առք</c:v>
                </c:pt>
              </c:strCache>
            </c:strRef>
          </c:tx>
          <c:spPr>
            <a:ln>
              <a:solidFill>
                <a:sysClr val="windowText" lastClr="000000"/>
              </a:solidFill>
            </a:ln>
          </c:spPr>
          <c:marker>
            <c:symbol val="none"/>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Sheet1!$F$14:$F$33</c:f>
              <c:numCache>
                <c:formatCode>0</c:formatCode>
                <c:ptCount val="20"/>
                <c:pt idx="0">
                  <c:v>-77.17092100000005</c:v>
                </c:pt>
                <c:pt idx="1">
                  <c:v>-35.832047999999958</c:v>
                </c:pt>
                <c:pt idx="2">
                  <c:v>-31.737334000000025</c:v>
                </c:pt>
                <c:pt idx="3">
                  <c:v>-12.142283999999904</c:v>
                </c:pt>
                <c:pt idx="4">
                  <c:v>89.283972042036069</c:v>
                </c:pt>
                <c:pt idx="5">
                  <c:v>24.172037133533848</c:v>
                </c:pt>
                <c:pt idx="6">
                  <c:v>43.524503625464376</c:v>
                </c:pt>
                <c:pt idx="7">
                  <c:v>66.273427606047164</c:v>
                </c:pt>
                <c:pt idx="8">
                  <c:v>63.625578487368443</c:v>
                </c:pt>
                <c:pt idx="9">
                  <c:v>207.69490181423797</c:v>
                </c:pt>
                <c:pt idx="10">
                  <c:v>106.49652144968127</c:v>
                </c:pt>
                <c:pt idx="11">
                  <c:v>-14.232376147053003</c:v>
                </c:pt>
                <c:pt idx="12">
                  <c:v>-66.725671167419591</c:v>
                </c:pt>
                <c:pt idx="13">
                  <c:v>43.206954848988289</c:v>
                </c:pt>
                <c:pt idx="14">
                  <c:v>57.522790930556766</c:v>
                </c:pt>
                <c:pt idx="15">
                  <c:v>-28.203722915810715</c:v>
                </c:pt>
                <c:pt idx="16">
                  <c:v>40.472727060228635</c:v>
                </c:pt>
                <c:pt idx="17">
                  <c:v>194.66328588364161</c:v>
                </c:pt>
                <c:pt idx="18">
                  <c:v>171.15274230548027</c:v>
                </c:pt>
                <c:pt idx="19">
                  <c:v>166.69198131785646</c:v>
                </c:pt>
              </c:numCache>
            </c:numRef>
          </c:val>
          <c:smooth val="0"/>
          <c:extLst>
            <c:ext xmlns:c16="http://schemas.microsoft.com/office/drawing/2014/chart" uri="{C3380CC4-5D6E-409C-BE32-E72D297353CC}">
              <c16:uniqueId val="{00000003-0E76-41BF-8FE1-A41DCB8E4E3B}"/>
            </c:ext>
          </c:extLst>
        </c:ser>
        <c:dLbls>
          <c:showLegendKey val="0"/>
          <c:showVal val="0"/>
          <c:showCatName val="0"/>
          <c:showSerName val="0"/>
          <c:showPercent val="0"/>
          <c:showBubbleSize val="0"/>
        </c:dLbls>
        <c:marker val="1"/>
        <c:smooth val="0"/>
        <c:axId val="806771312"/>
        <c:axId val="1"/>
      </c:lineChart>
      <c:catAx>
        <c:axId val="806771312"/>
        <c:scaling>
          <c:orientation val="minMax"/>
        </c:scaling>
        <c:delete val="0"/>
        <c:axPos val="b"/>
        <c:numFmt formatCode="General" sourceLinked="1"/>
        <c:majorTickMark val="none"/>
        <c:minorTickMark val="none"/>
        <c:tickLblPos val="low"/>
        <c:spPr>
          <a:solidFill>
            <a:sysClr val="window" lastClr="FFFFFF"/>
          </a:solidFill>
          <a:ln w="9545" cap="flat" cmpd="sng" algn="ctr">
            <a:solidFill>
              <a:srgbClr val="1F497D">
                <a:lumMod val="15000"/>
                <a:lumOff val="85000"/>
              </a:srgbClr>
            </a:solidFill>
            <a:round/>
          </a:ln>
          <a:effectLst/>
        </c:spPr>
        <c:txPr>
          <a:bodyPr rot="-60000000" vert="horz"/>
          <a:lstStyle/>
          <a:p>
            <a:pPr>
              <a:defRPr sz="900"/>
            </a:pPr>
            <a:endParaRPr lang="en-US"/>
          </a:p>
        </c:txPr>
        <c:crossAx val="1"/>
        <c:crosses val="autoZero"/>
        <c:auto val="1"/>
        <c:lblAlgn val="ctr"/>
        <c:lblOffset val="200"/>
        <c:noMultiLvlLbl val="0"/>
      </c:catAx>
      <c:valAx>
        <c:axId val="1"/>
        <c:scaling>
          <c:orientation val="minMax"/>
          <c:max val="700"/>
          <c:min val="-800"/>
        </c:scaling>
        <c:delete val="0"/>
        <c:axPos val="l"/>
        <c:majorGridlines>
          <c:spPr>
            <a:ln w="9545" cap="flat" cmpd="sng" algn="ctr">
              <a:solidFill>
                <a:sysClr val="window" lastClr="FFFFFF">
                  <a:lumMod val="75000"/>
                </a:sysClr>
              </a:solidFill>
              <a:round/>
            </a:ln>
            <a:effectLst/>
          </c:spPr>
        </c:majorGridlines>
        <c:title>
          <c:tx>
            <c:rich>
              <a:bodyPr/>
              <a:lstStyle/>
              <a:p>
                <a:pPr>
                  <a:defRPr b="0"/>
                </a:pPr>
                <a:r>
                  <a:rPr lang="hy-AM" sz="1000" b="0" i="0" u="none" strike="noStrike" baseline="0">
                    <a:effectLst/>
                  </a:rPr>
                  <a:t>Մլրդ դրամ</a:t>
                </a:r>
                <a:endParaRPr lang="en-US" b="0"/>
              </a:p>
            </c:rich>
          </c:tx>
          <c:overlay val="0"/>
        </c:title>
        <c:numFmt formatCode="0" sourceLinked="1"/>
        <c:majorTickMark val="none"/>
        <c:minorTickMark val="none"/>
        <c:tickLblPos val="nextTo"/>
        <c:spPr>
          <a:ln w="9545">
            <a:noFill/>
          </a:ln>
        </c:spPr>
        <c:txPr>
          <a:bodyPr rot="-60000000" vert="horz"/>
          <a:lstStyle/>
          <a:p>
            <a:pPr>
              <a:defRPr sz="900"/>
            </a:pPr>
            <a:endParaRPr lang="en-US"/>
          </a:p>
        </c:txPr>
        <c:crossAx val="806771312"/>
        <c:crosses val="autoZero"/>
        <c:crossBetween val="between"/>
      </c:valAx>
      <c:spPr>
        <a:solidFill>
          <a:schemeClr val="bg1"/>
        </a:solidFill>
        <a:ln>
          <a:noFill/>
        </a:ln>
        <a:effectLst/>
      </c:spPr>
    </c:plotArea>
    <c:legend>
      <c:legendPos val="b"/>
      <c:legendEntry>
        <c:idx val="0"/>
        <c:txPr>
          <a:bodyPr rot="0" vert="horz"/>
          <a:lstStyle/>
          <a:p>
            <a:pPr>
              <a:defRPr sz="900" b="1"/>
            </a:pPr>
            <a:endParaRPr lang="en-US"/>
          </a:p>
        </c:txPr>
      </c:legendEntry>
      <c:legendEntry>
        <c:idx val="1"/>
        <c:txPr>
          <a:bodyPr rot="0" vert="horz"/>
          <a:lstStyle/>
          <a:p>
            <a:pPr>
              <a:defRPr sz="900" b="1"/>
            </a:pPr>
            <a:endParaRPr lang="en-US"/>
          </a:p>
        </c:txPr>
      </c:legendEntry>
      <c:legendEntry>
        <c:idx val="3"/>
        <c:txPr>
          <a:bodyPr rot="0" vert="horz"/>
          <a:lstStyle/>
          <a:p>
            <a:pPr>
              <a:defRPr sz="900" b="1"/>
            </a:pPr>
            <a:endParaRPr lang="en-US"/>
          </a:p>
        </c:txPr>
      </c:legendEntry>
      <c:layout>
        <c:manualLayout>
          <c:xMode val="edge"/>
          <c:yMode val="edge"/>
          <c:x val="5.189687951058717E-2"/>
          <c:y val="0.92192246460995653"/>
          <c:w val="0.94810312048941281"/>
          <c:h val="7.8077535390043459E-2"/>
        </c:manualLayout>
      </c:layout>
      <c:overlay val="0"/>
      <c:spPr>
        <a:noFill/>
        <a:ln w="25453">
          <a:noFill/>
        </a:ln>
      </c:spPr>
      <c:txPr>
        <a:bodyPr rot="0" vert="horz"/>
        <a:lstStyle/>
        <a:p>
          <a:pPr>
            <a:defRPr sz="900" b="1"/>
          </a:pPr>
          <a:endParaRPr lang="en-US"/>
        </a:p>
      </c:txPr>
    </c:legend>
    <c:plotVisOnly val="1"/>
    <c:dispBlanksAs val="gap"/>
    <c:showDLblsOverMax val="0"/>
  </c:chart>
  <c:spPr>
    <a:solidFill>
      <a:schemeClr val="bg1"/>
    </a:solidFill>
    <a:ln>
      <a:solidFill>
        <a:sysClr val="window" lastClr="FFFFFF">
          <a:lumMod val="85000"/>
        </a:sysClr>
      </a:solidFill>
    </a:ln>
    <a:effectLst/>
  </c:spPr>
  <c:txPr>
    <a:bodyPr/>
    <a:lstStyle/>
    <a:p>
      <a:pPr>
        <a:defRPr>
          <a:ln>
            <a:noFill/>
          </a:ln>
          <a:solidFill>
            <a:schemeClr val="tx1">
              <a:lumMod val="65000"/>
              <a:lumOff val="35000"/>
            </a:schemeClr>
          </a:solidFill>
          <a:latin typeface="GHEA Grapalat" panose="02000506050000020003" pitchFamily="50"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100467876298074"/>
          <c:y val="9.0331207537105523E-2"/>
          <c:w val="0.6711324127962266"/>
          <c:h val="0.55560690159631676"/>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Sheet1!$A$2:$B$301</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Sheet1!$C$2:$C$301</c:f>
              <c:numCache>
                <c:formatCode>0</c:formatCode>
                <c:ptCount val="60"/>
                <c:pt idx="0">
                  <c:v>-46.8</c:v>
                </c:pt>
                <c:pt idx="1">
                  <c:v>0</c:v>
                </c:pt>
                <c:pt idx="2">
                  <c:v>-34.799999999999997</c:v>
                </c:pt>
                <c:pt idx="3">
                  <c:v>-74.7</c:v>
                </c:pt>
                <c:pt idx="4">
                  <c:v>0</c:v>
                </c:pt>
                <c:pt idx="5">
                  <c:v>7</c:v>
                </c:pt>
                <c:pt idx="6">
                  <c:v>0</c:v>
                </c:pt>
                <c:pt idx="7">
                  <c:v>0</c:v>
                </c:pt>
                <c:pt idx="8">
                  <c:v>10</c:v>
                </c:pt>
                <c:pt idx="9">
                  <c:v>0</c:v>
                </c:pt>
                <c:pt idx="10">
                  <c:v>5</c:v>
                </c:pt>
                <c:pt idx="11">
                  <c:v>0</c:v>
                </c:pt>
                <c:pt idx="12">
                  <c:v>0</c:v>
                </c:pt>
                <c:pt idx="13">
                  <c:v>0</c:v>
                </c:pt>
                <c:pt idx="14">
                  <c:v>0</c:v>
                </c:pt>
                <c:pt idx="15">
                  <c:v>67</c:v>
                </c:pt>
                <c:pt idx="16">
                  <c:v>0</c:v>
                </c:pt>
                <c:pt idx="17">
                  <c:v>100</c:v>
                </c:pt>
                <c:pt idx="18">
                  <c:v>18.5</c:v>
                </c:pt>
                <c:pt idx="19">
                  <c:v>81.3</c:v>
                </c:pt>
                <c:pt idx="20">
                  <c:v>55</c:v>
                </c:pt>
                <c:pt idx="21">
                  <c:v>80</c:v>
                </c:pt>
                <c:pt idx="22">
                  <c:v>114.1</c:v>
                </c:pt>
                <c:pt idx="23">
                  <c:v>57.9</c:v>
                </c:pt>
                <c:pt idx="24">
                  <c:v>0</c:v>
                </c:pt>
                <c:pt idx="25">
                  <c:v>40</c:v>
                </c:pt>
                <c:pt idx="26">
                  <c:v>151.30000000000001</c:v>
                </c:pt>
                <c:pt idx="27">
                  <c:v>181.6</c:v>
                </c:pt>
                <c:pt idx="28">
                  <c:v>209.5</c:v>
                </c:pt>
                <c:pt idx="29">
                  <c:v>198.8</c:v>
                </c:pt>
                <c:pt idx="30">
                  <c:v>230</c:v>
                </c:pt>
                <c:pt idx="31">
                  <c:v>165.3</c:v>
                </c:pt>
                <c:pt idx="32">
                  <c:v>20</c:v>
                </c:pt>
                <c:pt idx="33">
                  <c:v>-50</c:v>
                </c:pt>
                <c:pt idx="34">
                  <c:v>0</c:v>
                </c:pt>
                <c:pt idx="35">
                  <c:v>0</c:v>
                </c:pt>
                <c:pt idx="36">
                  <c:v>0</c:v>
                </c:pt>
                <c:pt idx="37">
                  <c:v>0</c:v>
                </c:pt>
                <c:pt idx="38">
                  <c:v>0</c:v>
                </c:pt>
                <c:pt idx="39">
                  <c:v>20</c:v>
                </c:pt>
                <c:pt idx="40">
                  <c:v>136.5</c:v>
                </c:pt>
                <c:pt idx="41">
                  <c:v>100</c:v>
                </c:pt>
                <c:pt idx="42">
                  <c:v>110</c:v>
                </c:pt>
                <c:pt idx="43">
                  <c:v>132.30000000000001</c:v>
                </c:pt>
                <c:pt idx="44">
                  <c:v>119</c:v>
                </c:pt>
                <c:pt idx="45">
                  <c:v>87.7</c:v>
                </c:pt>
                <c:pt idx="46">
                  <c:v>0</c:v>
                </c:pt>
                <c:pt idx="47">
                  <c:v>0</c:v>
                </c:pt>
                <c:pt idx="48">
                  <c:v>0</c:v>
                </c:pt>
                <c:pt idx="49">
                  <c:v>10</c:v>
                </c:pt>
                <c:pt idx="50">
                  <c:v>84</c:v>
                </c:pt>
                <c:pt idx="51">
                  <c:v>150</c:v>
                </c:pt>
                <c:pt idx="52">
                  <c:v>275.39999999999998</c:v>
                </c:pt>
                <c:pt idx="53">
                  <c:v>230</c:v>
                </c:pt>
                <c:pt idx="54">
                  <c:v>137.5</c:v>
                </c:pt>
                <c:pt idx="55">
                  <c:v>181.7</c:v>
                </c:pt>
                <c:pt idx="56">
                  <c:v>200</c:v>
                </c:pt>
                <c:pt idx="57">
                  <c:v>150</c:v>
                </c:pt>
                <c:pt idx="58">
                  <c:v>197.7</c:v>
                </c:pt>
                <c:pt idx="59">
                  <c:v>180</c:v>
                </c:pt>
              </c:numCache>
            </c:numRef>
          </c:val>
          <c:extLst>
            <c:ext xmlns:c16="http://schemas.microsoft.com/office/drawing/2014/chart" uri="{C3380CC4-5D6E-409C-BE32-E72D297353CC}">
              <c16:uniqueId val="{00000000-82C9-406F-BF79-2E4AC7D99136}"/>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solidFill>
              <a:round/>
            </a:ln>
            <a:effectLst/>
          </c:spPr>
          <c:marker>
            <c:symbol val="none"/>
          </c:marker>
          <c:cat>
            <c:multiLvlStrRef>
              <c:f>Sheet1!$A$1:$B$301</c:f>
              <c:multiLvlStrCache>
                <c:ptCount val="61"/>
                <c:lvl>
                  <c:pt idx="4">
                    <c:v>4</c:v>
                  </c:pt>
                  <c:pt idx="8">
                    <c:v>8</c:v>
                  </c:pt>
                  <c:pt idx="12">
                    <c:v>12</c:v>
                  </c:pt>
                  <c:pt idx="16">
                    <c:v>4</c:v>
                  </c:pt>
                  <c:pt idx="20">
                    <c:v>8</c:v>
                  </c:pt>
                  <c:pt idx="24">
                    <c:v>12</c:v>
                  </c:pt>
                  <c:pt idx="28">
                    <c:v>4</c:v>
                  </c:pt>
                  <c:pt idx="32">
                    <c:v>8</c:v>
                  </c:pt>
                  <c:pt idx="36">
                    <c:v>12</c:v>
                  </c:pt>
                  <c:pt idx="40">
                    <c:v>4</c:v>
                  </c:pt>
                  <c:pt idx="44">
                    <c:v>8</c:v>
                  </c:pt>
                  <c:pt idx="48">
                    <c:v>12</c:v>
                  </c:pt>
                  <c:pt idx="52">
                    <c:v>4</c:v>
                  </c:pt>
                  <c:pt idx="56">
                    <c:v>8</c:v>
                  </c:pt>
                  <c:pt idx="60">
                    <c:v>12</c:v>
                  </c:pt>
                </c:lvl>
                <c:lvl>
                  <c:pt idx="1">
                    <c:v>2021</c:v>
                  </c:pt>
                  <c:pt idx="13">
                    <c:v>2022</c:v>
                  </c:pt>
                  <c:pt idx="25">
                    <c:v>2023</c:v>
                  </c:pt>
                  <c:pt idx="37">
                    <c:v>2024</c:v>
                  </c:pt>
                  <c:pt idx="49">
                    <c:v>2025</c:v>
                  </c:pt>
                </c:lvl>
              </c:multiLvlStrCache>
            </c:multiLvlStrRef>
          </c:cat>
          <c:val>
            <c:numRef>
              <c:f>Sheet1!$D$2:$D$301</c:f>
              <c:numCache>
                <c:formatCode>0</c:formatCode>
                <c:ptCount val="60"/>
                <c:pt idx="0">
                  <c:v>521.20000000000005</c:v>
                </c:pt>
                <c:pt idx="1">
                  <c:v>523.54</c:v>
                </c:pt>
                <c:pt idx="2">
                  <c:v>527.66999999999996</c:v>
                </c:pt>
                <c:pt idx="3">
                  <c:v>525.62</c:v>
                </c:pt>
                <c:pt idx="4">
                  <c:v>521.35</c:v>
                </c:pt>
                <c:pt idx="5">
                  <c:v>513.09</c:v>
                </c:pt>
                <c:pt idx="6">
                  <c:v>490.87</c:v>
                </c:pt>
                <c:pt idx="7">
                  <c:v>491.73</c:v>
                </c:pt>
                <c:pt idx="8">
                  <c:v>488.12</c:v>
                </c:pt>
                <c:pt idx="9">
                  <c:v>479.25</c:v>
                </c:pt>
                <c:pt idx="10">
                  <c:v>477.66</c:v>
                </c:pt>
                <c:pt idx="11">
                  <c:v>485.14</c:v>
                </c:pt>
                <c:pt idx="12">
                  <c:v>481.99</c:v>
                </c:pt>
                <c:pt idx="13">
                  <c:v>480.24</c:v>
                </c:pt>
                <c:pt idx="14">
                  <c:v>496.96</c:v>
                </c:pt>
                <c:pt idx="15">
                  <c:v>470.99</c:v>
                </c:pt>
                <c:pt idx="16">
                  <c:v>456.54</c:v>
                </c:pt>
                <c:pt idx="17">
                  <c:v>422.69</c:v>
                </c:pt>
                <c:pt idx="18">
                  <c:v>411.03</c:v>
                </c:pt>
                <c:pt idx="19">
                  <c:v>405.75</c:v>
                </c:pt>
                <c:pt idx="20">
                  <c:v>409.15</c:v>
                </c:pt>
                <c:pt idx="21">
                  <c:v>402.73</c:v>
                </c:pt>
                <c:pt idx="22">
                  <c:v>395.38</c:v>
                </c:pt>
                <c:pt idx="23">
                  <c:v>394.54</c:v>
                </c:pt>
                <c:pt idx="24">
                  <c:v>395.89</c:v>
                </c:pt>
                <c:pt idx="25">
                  <c:v>393.45</c:v>
                </c:pt>
                <c:pt idx="26">
                  <c:v>388.44</c:v>
                </c:pt>
                <c:pt idx="27">
                  <c:v>387.74</c:v>
                </c:pt>
                <c:pt idx="28">
                  <c:v>386.56</c:v>
                </c:pt>
                <c:pt idx="29">
                  <c:v>386.67</c:v>
                </c:pt>
                <c:pt idx="30">
                  <c:v>386.54</c:v>
                </c:pt>
                <c:pt idx="31">
                  <c:v>386.17</c:v>
                </c:pt>
                <c:pt idx="32">
                  <c:v>386.94</c:v>
                </c:pt>
                <c:pt idx="33">
                  <c:v>404.33</c:v>
                </c:pt>
                <c:pt idx="34">
                  <c:v>402.52</c:v>
                </c:pt>
                <c:pt idx="35">
                  <c:v>404.47</c:v>
                </c:pt>
                <c:pt idx="36">
                  <c:v>404.96</c:v>
                </c:pt>
                <c:pt idx="37">
                  <c:v>404.27</c:v>
                </c:pt>
                <c:pt idx="38">
                  <c:v>400.42</c:v>
                </c:pt>
                <c:pt idx="39">
                  <c:v>390.99</c:v>
                </c:pt>
                <c:pt idx="40">
                  <c:v>387.82</c:v>
                </c:pt>
                <c:pt idx="41">
                  <c:v>388.06</c:v>
                </c:pt>
                <c:pt idx="42">
                  <c:v>388.07</c:v>
                </c:pt>
                <c:pt idx="43">
                  <c:v>388.08</c:v>
                </c:pt>
                <c:pt idx="44">
                  <c:v>387.37</c:v>
                </c:pt>
                <c:pt idx="45">
                  <c:v>387.2</c:v>
                </c:pt>
                <c:pt idx="46">
                  <c:v>388.97</c:v>
                </c:pt>
                <c:pt idx="47">
                  <c:v>396.55</c:v>
                </c:pt>
                <c:pt idx="48">
                  <c:v>397.89</c:v>
                </c:pt>
                <c:pt idx="49">
                  <c:v>395.6</c:v>
                </c:pt>
                <c:pt idx="50">
                  <c:v>392.78</c:v>
                </c:pt>
                <c:pt idx="51">
                  <c:v>390.71</c:v>
                </c:pt>
                <c:pt idx="52">
                  <c:v>386.63</c:v>
                </c:pt>
                <c:pt idx="53">
                  <c:v>384.22</c:v>
                </c:pt>
                <c:pt idx="54">
                  <c:v>384.07</c:v>
                </c:pt>
                <c:pt idx="55">
                  <c:v>383.19</c:v>
                </c:pt>
                <c:pt idx="56">
                  <c:v>382.83</c:v>
                </c:pt>
                <c:pt idx="57">
                  <c:v>382.71</c:v>
                </c:pt>
                <c:pt idx="58">
                  <c:v>381.99</c:v>
                </c:pt>
                <c:pt idx="59">
                  <c:v>381.51</c:v>
                </c:pt>
              </c:numCache>
            </c:numRef>
          </c:val>
          <c:smooth val="0"/>
          <c:extLst>
            <c:ext xmlns:c16="http://schemas.microsoft.com/office/drawing/2014/chart" uri="{C3380CC4-5D6E-409C-BE32-E72D297353CC}">
              <c16:uniqueId val="{00000001-82C9-406F-BF79-2E4AC7D99136}"/>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tickLblSkip val="1"/>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Մլն 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majorUnit val="40"/>
        <c:minorUnit val="10"/>
      </c:valAx>
      <c:valAx>
        <c:axId val="540084224"/>
        <c:scaling>
          <c:orientation val="minMax"/>
          <c:max val="530"/>
          <c:min val="38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majorUnit val="20"/>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476077538501E-2"/>
          <c:y val="0.84842347575405541"/>
          <c:w val="0.96435885273376976"/>
          <c:h val="0.13671998031496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ysClr val="window" lastClr="FFFFFF">
          <a:lumMod val="85000"/>
        </a:sys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Sheet1!$D$1</c:f>
              <c:strCache>
                <c:ptCount val="1"/>
                <c:pt idx="0">
                  <c:v>Եվրո</c:v>
                </c:pt>
              </c:strCache>
            </c:strRef>
          </c:tx>
          <c:spPr>
            <a:ln w="28575" cap="rnd">
              <a:solidFill>
                <a:srgbClr val="1F497D"/>
              </a:solidFill>
              <a:round/>
            </a:ln>
            <a:effectLst/>
          </c:spPr>
          <c:marker>
            <c:symbol val="none"/>
          </c:marker>
          <c:cat>
            <c:multiLvlStrRef>
              <c:f>Sheet1!$A$26:$B$97</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Sheet1!$D$2:$D$97</c:f>
              <c:numCache>
                <c:formatCode>_(* #,##0_);_(* \(#,##0\);_(* "-"??_);_(@_)</c:formatCode>
                <c:ptCount val="60"/>
                <c:pt idx="0">
                  <c:v>633.02</c:v>
                </c:pt>
                <c:pt idx="1">
                  <c:v>633.41999999999996</c:v>
                </c:pt>
                <c:pt idx="2">
                  <c:v>628.03</c:v>
                </c:pt>
                <c:pt idx="3">
                  <c:v>628.44000000000005</c:v>
                </c:pt>
                <c:pt idx="4">
                  <c:v>633.21</c:v>
                </c:pt>
                <c:pt idx="5">
                  <c:v>618.41999999999996</c:v>
                </c:pt>
                <c:pt idx="6">
                  <c:v>580.29</c:v>
                </c:pt>
                <c:pt idx="7">
                  <c:v>578.80999999999995</c:v>
                </c:pt>
                <c:pt idx="8">
                  <c:v>574.82000000000005</c:v>
                </c:pt>
                <c:pt idx="9">
                  <c:v>555.86</c:v>
                </c:pt>
                <c:pt idx="10">
                  <c:v>545.17999999999995</c:v>
                </c:pt>
                <c:pt idx="11">
                  <c:v>548.21</c:v>
                </c:pt>
                <c:pt idx="12">
                  <c:v>546.25</c:v>
                </c:pt>
                <c:pt idx="13">
                  <c:v>544.47</c:v>
                </c:pt>
                <c:pt idx="14">
                  <c:v>547.79999999999995</c:v>
                </c:pt>
                <c:pt idx="15">
                  <c:v>509.88</c:v>
                </c:pt>
                <c:pt idx="16">
                  <c:v>482.99</c:v>
                </c:pt>
                <c:pt idx="17">
                  <c:v>446.99</c:v>
                </c:pt>
                <c:pt idx="18">
                  <c:v>418.36</c:v>
                </c:pt>
                <c:pt idx="19">
                  <c:v>410.96</c:v>
                </c:pt>
                <c:pt idx="20">
                  <c:v>405.41</c:v>
                </c:pt>
                <c:pt idx="21">
                  <c:v>395.78</c:v>
                </c:pt>
                <c:pt idx="22">
                  <c:v>403.14</c:v>
                </c:pt>
                <c:pt idx="23">
                  <c:v>417.71</c:v>
                </c:pt>
                <c:pt idx="24">
                  <c:v>427.28</c:v>
                </c:pt>
                <c:pt idx="25">
                  <c:v>421.68</c:v>
                </c:pt>
                <c:pt idx="26">
                  <c:v>416.08</c:v>
                </c:pt>
                <c:pt idx="27">
                  <c:v>425.09</c:v>
                </c:pt>
                <c:pt idx="28">
                  <c:v>419.8</c:v>
                </c:pt>
                <c:pt idx="29">
                  <c:v>419.13</c:v>
                </c:pt>
                <c:pt idx="30">
                  <c:v>427.81</c:v>
                </c:pt>
                <c:pt idx="31">
                  <c:v>421.3</c:v>
                </c:pt>
                <c:pt idx="32">
                  <c:v>413.53</c:v>
                </c:pt>
                <c:pt idx="33">
                  <c:v>427.01</c:v>
                </c:pt>
                <c:pt idx="34">
                  <c:v>434.88</c:v>
                </c:pt>
                <c:pt idx="35">
                  <c:v>441.5</c:v>
                </c:pt>
                <c:pt idx="36">
                  <c:v>441.39</c:v>
                </c:pt>
                <c:pt idx="37">
                  <c:v>436.26</c:v>
                </c:pt>
                <c:pt idx="38">
                  <c:v>435.1</c:v>
                </c:pt>
                <c:pt idx="39">
                  <c:v>419.62</c:v>
                </c:pt>
                <c:pt idx="40">
                  <c:v>419.36</c:v>
                </c:pt>
                <c:pt idx="41">
                  <c:v>417.56</c:v>
                </c:pt>
                <c:pt idx="42">
                  <c:v>420.88</c:v>
                </c:pt>
                <c:pt idx="43">
                  <c:v>427.32</c:v>
                </c:pt>
                <c:pt idx="44">
                  <c:v>430.28</c:v>
                </c:pt>
                <c:pt idx="45">
                  <c:v>422.29</c:v>
                </c:pt>
                <c:pt idx="46">
                  <c:v>413.34</c:v>
                </c:pt>
                <c:pt idx="47">
                  <c:v>415.3</c:v>
                </c:pt>
                <c:pt idx="48">
                  <c:v>411.86</c:v>
                </c:pt>
                <c:pt idx="49">
                  <c:v>411.92</c:v>
                </c:pt>
                <c:pt idx="50">
                  <c:v>424.52</c:v>
                </c:pt>
                <c:pt idx="51">
                  <c:v>438.46</c:v>
                </c:pt>
                <c:pt idx="52">
                  <c:v>436.08</c:v>
                </c:pt>
                <c:pt idx="53">
                  <c:v>442.55</c:v>
                </c:pt>
                <c:pt idx="54">
                  <c:v>448.69</c:v>
                </c:pt>
                <c:pt idx="55">
                  <c:v>445.8</c:v>
                </c:pt>
                <c:pt idx="56">
                  <c:v>449.17</c:v>
                </c:pt>
                <c:pt idx="57">
                  <c:v>445.38</c:v>
                </c:pt>
                <c:pt idx="58">
                  <c:v>441.35</c:v>
                </c:pt>
                <c:pt idx="59">
                  <c:v>446.83</c:v>
                </c:pt>
              </c:numCache>
            </c:numRef>
          </c:val>
          <c:smooth val="0"/>
          <c:extLst>
            <c:ext xmlns:c16="http://schemas.microsoft.com/office/drawing/2014/chart" uri="{C3380CC4-5D6E-409C-BE32-E72D297353CC}">
              <c16:uniqueId val="{00000000-39EE-48D0-94FC-0DFAC5F3FD7C}"/>
            </c:ext>
          </c:extLst>
        </c:ser>
        <c:ser>
          <c:idx val="2"/>
          <c:order val="2"/>
          <c:tx>
            <c:strRef>
              <c:f>Sheet1!$C$1</c:f>
              <c:strCache>
                <c:ptCount val="1"/>
                <c:pt idx="0">
                  <c:v>Դոլար</c:v>
                </c:pt>
              </c:strCache>
            </c:strRef>
          </c:tx>
          <c:spPr>
            <a:ln w="28575" cap="rnd">
              <a:solidFill>
                <a:schemeClr val="accent5"/>
              </a:solidFill>
              <a:round/>
            </a:ln>
            <a:effectLst/>
          </c:spPr>
          <c:marker>
            <c:symbol val="none"/>
          </c:marker>
          <c:cat>
            <c:multiLvlStrRef>
              <c:f>Sheet1!$A$26:$B$97</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Sheet1!$C$26:$C$97</c:f>
              <c:numCache>
                <c:formatCode>_(* #,##0_);_(* \(#,##0\);_(* "-"??_);_(@_)</c:formatCode>
                <c:ptCount val="60"/>
                <c:pt idx="0">
                  <c:v>521.20000000000005</c:v>
                </c:pt>
                <c:pt idx="1">
                  <c:v>523.54</c:v>
                </c:pt>
                <c:pt idx="2">
                  <c:v>527.66999999999996</c:v>
                </c:pt>
                <c:pt idx="3">
                  <c:v>525.62</c:v>
                </c:pt>
                <c:pt idx="4">
                  <c:v>521.35</c:v>
                </c:pt>
                <c:pt idx="5">
                  <c:v>513.09</c:v>
                </c:pt>
                <c:pt idx="6">
                  <c:v>490.87</c:v>
                </c:pt>
                <c:pt idx="7">
                  <c:v>491.73</c:v>
                </c:pt>
                <c:pt idx="8">
                  <c:v>488.12</c:v>
                </c:pt>
                <c:pt idx="9">
                  <c:v>479.25</c:v>
                </c:pt>
                <c:pt idx="10">
                  <c:v>477.66</c:v>
                </c:pt>
                <c:pt idx="11">
                  <c:v>485.14</c:v>
                </c:pt>
                <c:pt idx="12">
                  <c:v>481.99</c:v>
                </c:pt>
                <c:pt idx="13">
                  <c:v>480.24</c:v>
                </c:pt>
                <c:pt idx="14">
                  <c:v>496.96</c:v>
                </c:pt>
                <c:pt idx="15">
                  <c:v>470.99</c:v>
                </c:pt>
                <c:pt idx="16">
                  <c:v>456.54</c:v>
                </c:pt>
                <c:pt idx="17">
                  <c:v>422.69</c:v>
                </c:pt>
                <c:pt idx="18">
                  <c:v>411.03</c:v>
                </c:pt>
                <c:pt idx="19">
                  <c:v>405.75</c:v>
                </c:pt>
                <c:pt idx="20">
                  <c:v>409.15</c:v>
                </c:pt>
                <c:pt idx="21">
                  <c:v>402.73</c:v>
                </c:pt>
                <c:pt idx="22">
                  <c:v>395.38</c:v>
                </c:pt>
                <c:pt idx="23">
                  <c:v>394.54</c:v>
                </c:pt>
                <c:pt idx="24">
                  <c:v>395.89</c:v>
                </c:pt>
                <c:pt idx="25">
                  <c:v>393.45</c:v>
                </c:pt>
                <c:pt idx="26">
                  <c:v>388.44</c:v>
                </c:pt>
                <c:pt idx="27">
                  <c:v>387.74</c:v>
                </c:pt>
                <c:pt idx="28">
                  <c:v>386.56</c:v>
                </c:pt>
                <c:pt idx="29">
                  <c:v>386.67</c:v>
                </c:pt>
                <c:pt idx="30">
                  <c:v>386.54</c:v>
                </c:pt>
                <c:pt idx="31">
                  <c:v>386.17</c:v>
                </c:pt>
                <c:pt idx="32">
                  <c:v>386.94</c:v>
                </c:pt>
                <c:pt idx="33">
                  <c:v>404.33</c:v>
                </c:pt>
                <c:pt idx="34">
                  <c:v>402.52</c:v>
                </c:pt>
                <c:pt idx="35">
                  <c:v>404.47</c:v>
                </c:pt>
                <c:pt idx="36">
                  <c:v>404.96</c:v>
                </c:pt>
                <c:pt idx="37">
                  <c:v>404.27</c:v>
                </c:pt>
                <c:pt idx="38">
                  <c:v>400.42</c:v>
                </c:pt>
                <c:pt idx="39">
                  <c:v>390.99</c:v>
                </c:pt>
                <c:pt idx="40">
                  <c:v>387.82</c:v>
                </c:pt>
                <c:pt idx="41">
                  <c:v>388.06</c:v>
                </c:pt>
                <c:pt idx="42">
                  <c:v>388.07</c:v>
                </c:pt>
                <c:pt idx="43">
                  <c:v>388.08</c:v>
                </c:pt>
                <c:pt idx="44">
                  <c:v>387.37</c:v>
                </c:pt>
                <c:pt idx="45">
                  <c:v>387.2</c:v>
                </c:pt>
                <c:pt idx="46">
                  <c:v>388.97</c:v>
                </c:pt>
                <c:pt idx="47">
                  <c:v>396.55</c:v>
                </c:pt>
                <c:pt idx="48">
                  <c:v>397.89</c:v>
                </c:pt>
                <c:pt idx="49">
                  <c:v>395.6</c:v>
                </c:pt>
                <c:pt idx="50">
                  <c:v>392.78</c:v>
                </c:pt>
                <c:pt idx="51">
                  <c:v>390.71</c:v>
                </c:pt>
                <c:pt idx="52">
                  <c:v>386.63</c:v>
                </c:pt>
                <c:pt idx="53">
                  <c:v>384.22</c:v>
                </c:pt>
                <c:pt idx="54">
                  <c:v>384.07</c:v>
                </c:pt>
                <c:pt idx="55">
                  <c:v>383.19</c:v>
                </c:pt>
                <c:pt idx="56">
                  <c:v>382.83</c:v>
                </c:pt>
                <c:pt idx="57">
                  <c:v>382.71</c:v>
                </c:pt>
                <c:pt idx="58">
                  <c:v>381.99</c:v>
                </c:pt>
                <c:pt idx="59">
                  <c:v>381.51</c:v>
                </c:pt>
              </c:numCache>
            </c:numRef>
          </c:val>
          <c:smooth val="0"/>
          <c:extLst>
            <c:ext xmlns:c16="http://schemas.microsoft.com/office/drawing/2014/chart" uri="{C3380CC4-5D6E-409C-BE32-E72D297353CC}">
              <c16:uniqueId val="{00000001-39EE-48D0-94FC-0DFAC5F3FD7C}"/>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1"/>
          <c:order val="1"/>
          <c:tx>
            <c:strRef>
              <c:f>Sheet1!$E$1</c:f>
              <c:strCache>
                <c:ptCount val="1"/>
                <c:pt idx="0">
                  <c:v>Ռուբլի, աջ առանցք</c:v>
                </c:pt>
              </c:strCache>
            </c:strRef>
          </c:tx>
          <c:spPr>
            <a:ln w="28575" cap="rnd">
              <a:solidFill>
                <a:srgbClr val="F79646">
                  <a:lumMod val="60000"/>
                  <a:lumOff val="40000"/>
                </a:srgbClr>
              </a:solidFill>
              <a:round/>
            </a:ln>
            <a:effectLst/>
          </c:spPr>
          <c:marker>
            <c:symbol val="none"/>
          </c:marker>
          <c:cat>
            <c:multiLvlStrRef>
              <c:f>Sheet1!$A$26:$B$97</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Sheet1!$E$2:$E$97</c:f>
              <c:numCache>
                <c:formatCode>_(* #,##0_);_(* \(#,##0\);_(* "-"??_);_(@_)</c:formatCode>
                <c:ptCount val="60"/>
                <c:pt idx="0">
                  <c:v>7.01</c:v>
                </c:pt>
                <c:pt idx="1">
                  <c:v>7.04</c:v>
                </c:pt>
                <c:pt idx="2">
                  <c:v>7.09</c:v>
                </c:pt>
                <c:pt idx="3">
                  <c:v>6.91</c:v>
                </c:pt>
                <c:pt idx="4">
                  <c:v>7.04</c:v>
                </c:pt>
                <c:pt idx="5">
                  <c:v>7.07</c:v>
                </c:pt>
                <c:pt idx="6">
                  <c:v>6.64</c:v>
                </c:pt>
                <c:pt idx="7">
                  <c:v>6.68</c:v>
                </c:pt>
                <c:pt idx="8">
                  <c:v>6.7</c:v>
                </c:pt>
                <c:pt idx="9">
                  <c:v>6.71</c:v>
                </c:pt>
                <c:pt idx="10">
                  <c:v>6.56</c:v>
                </c:pt>
                <c:pt idx="11">
                  <c:v>6.58</c:v>
                </c:pt>
                <c:pt idx="12">
                  <c:v>6.32</c:v>
                </c:pt>
                <c:pt idx="13">
                  <c:v>6.16</c:v>
                </c:pt>
                <c:pt idx="14">
                  <c:v>4.83</c:v>
                </c:pt>
                <c:pt idx="15">
                  <c:v>6.1</c:v>
                </c:pt>
                <c:pt idx="16">
                  <c:v>7.17</c:v>
                </c:pt>
                <c:pt idx="17">
                  <c:v>7.48</c:v>
                </c:pt>
                <c:pt idx="18">
                  <c:v>7.04</c:v>
                </c:pt>
                <c:pt idx="19">
                  <c:v>6.72</c:v>
                </c:pt>
                <c:pt idx="20">
                  <c:v>6.9</c:v>
                </c:pt>
                <c:pt idx="21">
                  <c:v>6.56</c:v>
                </c:pt>
                <c:pt idx="22">
                  <c:v>6.5</c:v>
                </c:pt>
                <c:pt idx="23">
                  <c:v>5.99</c:v>
                </c:pt>
                <c:pt idx="24">
                  <c:v>5.71</c:v>
                </c:pt>
                <c:pt idx="25">
                  <c:v>5.37</c:v>
                </c:pt>
                <c:pt idx="26">
                  <c:v>5.0999999999999996</c:v>
                </c:pt>
                <c:pt idx="27">
                  <c:v>4.78</c:v>
                </c:pt>
                <c:pt idx="28">
                  <c:v>4.88</c:v>
                </c:pt>
                <c:pt idx="29">
                  <c:v>4.63</c:v>
                </c:pt>
                <c:pt idx="30">
                  <c:v>4.2699999999999996</c:v>
                </c:pt>
                <c:pt idx="31">
                  <c:v>4.04</c:v>
                </c:pt>
                <c:pt idx="32">
                  <c:v>4</c:v>
                </c:pt>
                <c:pt idx="33">
                  <c:v>4.18</c:v>
                </c:pt>
                <c:pt idx="34">
                  <c:v>4.46</c:v>
                </c:pt>
                <c:pt idx="35">
                  <c:v>4.45</c:v>
                </c:pt>
                <c:pt idx="36" formatCode="0.0">
                  <c:v>4.54</c:v>
                </c:pt>
                <c:pt idx="37" formatCode="0.0">
                  <c:v>4.41</c:v>
                </c:pt>
                <c:pt idx="38" formatCode="0.0">
                  <c:v>4.3600000000000003</c:v>
                </c:pt>
                <c:pt idx="39" formatCode="0.0">
                  <c:v>4.2</c:v>
                </c:pt>
                <c:pt idx="40" formatCode="0.0">
                  <c:v>4.2699999999999996</c:v>
                </c:pt>
                <c:pt idx="41" formatCode="0.0">
                  <c:v>4.42</c:v>
                </c:pt>
                <c:pt idx="42" formatCode="0.0">
                  <c:v>4.4400000000000004</c:v>
                </c:pt>
                <c:pt idx="43" formatCode="0.0">
                  <c:v>4.38</c:v>
                </c:pt>
                <c:pt idx="44" formatCode="0.0">
                  <c:v>4.24</c:v>
                </c:pt>
                <c:pt idx="45" formatCode="0.0">
                  <c:v>4.0199999999999996</c:v>
                </c:pt>
                <c:pt idx="46" formatCode="0.0">
                  <c:v>3.85</c:v>
                </c:pt>
                <c:pt idx="47" formatCode="0.0">
                  <c:v>3.86</c:v>
                </c:pt>
                <c:pt idx="48" formatCode="0.0">
                  <c:v>3.92</c:v>
                </c:pt>
                <c:pt idx="49" formatCode="0.0">
                  <c:v>4.3</c:v>
                </c:pt>
                <c:pt idx="50" formatCode="0.0">
                  <c:v>4.58</c:v>
                </c:pt>
                <c:pt idx="51" formatCode="0.0">
                  <c:v>4.7</c:v>
                </c:pt>
                <c:pt idx="52" formatCode="0.0">
                  <c:v>4.8</c:v>
                </c:pt>
                <c:pt idx="53" formatCode="0.0">
                  <c:v>4.88</c:v>
                </c:pt>
                <c:pt idx="54" formatCode="0.0">
                  <c:v>4.87</c:v>
                </c:pt>
                <c:pt idx="55" formatCode="0.0">
                  <c:v>4.78</c:v>
                </c:pt>
                <c:pt idx="56" formatCode="0.0">
                  <c:v>4.62</c:v>
                </c:pt>
                <c:pt idx="57" formatCode="0.0">
                  <c:v>4.7300000000000004</c:v>
                </c:pt>
                <c:pt idx="58" formatCode="0.0">
                  <c:v>4.76</c:v>
                </c:pt>
                <c:pt idx="59" formatCode="0.0">
                  <c:v>4.87</c:v>
                </c:pt>
              </c:numCache>
            </c:numRef>
          </c:val>
          <c:smooth val="0"/>
          <c:extLst>
            <c:ext xmlns:c16="http://schemas.microsoft.com/office/drawing/2014/chart" uri="{C3380CC4-5D6E-409C-BE32-E72D297353CC}">
              <c16:uniqueId val="{00000002-39EE-48D0-94FC-0DFAC5F3FD7C}"/>
            </c:ext>
          </c:extLst>
        </c:ser>
        <c:dLbls>
          <c:showLegendKey val="0"/>
          <c:showVal val="0"/>
          <c:showCatName val="0"/>
          <c:showSerName val="0"/>
          <c:showPercent val="0"/>
          <c:showBubbleSize val="0"/>
        </c:dLbls>
        <c:marker val="1"/>
        <c:smooth val="0"/>
        <c:axId val="428372288"/>
        <c:axId val="428355648"/>
      </c:lineChart>
      <c:catAx>
        <c:axId val="175953408"/>
        <c:scaling>
          <c:orientation val="minMax"/>
        </c:scaling>
        <c:delete val="0"/>
        <c:axPos val="b"/>
        <c:numFmt formatCode="General" sourceLinked="0"/>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tickLblSkip val="1"/>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428355648"/>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28372288"/>
        <c:crosses val="max"/>
        <c:crossBetween val="between"/>
      </c:valAx>
      <c:catAx>
        <c:axId val="428372288"/>
        <c:scaling>
          <c:orientation val="minMax"/>
        </c:scaling>
        <c:delete val="1"/>
        <c:axPos val="b"/>
        <c:numFmt formatCode="General" sourceLinked="1"/>
        <c:majorTickMark val="out"/>
        <c:minorTickMark val="none"/>
        <c:tickLblPos val="nextTo"/>
        <c:crossAx val="428355648"/>
        <c:crosses val="autoZero"/>
        <c:auto val="1"/>
        <c:lblAlgn val="ctr"/>
        <c:lblOffset val="100"/>
        <c:noMultiLvlLbl val="0"/>
      </c:catAx>
      <c:spPr>
        <a:noFill/>
        <a:ln>
          <a:noFill/>
        </a:ln>
        <a:effectLst/>
      </c:spPr>
    </c:plotArea>
    <c:legend>
      <c:legendPos val="b"/>
      <c:layout>
        <c:manualLayout>
          <c:xMode val="edge"/>
          <c:yMode val="edge"/>
          <c:x val="5.9999320939449395E-2"/>
          <c:y val="0.90165381576437886"/>
          <c:w val="0.9"/>
          <c:h val="9.8346184235621067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97460074543971"/>
          <c:y val="8.9545756780402455E-2"/>
          <c:w val="0.81393133068397794"/>
          <c:h val="0.58376552930883641"/>
        </c:manualLayout>
      </c:layout>
      <c:lineChart>
        <c:grouping val="standard"/>
        <c:varyColors val="0"/>
        <c:ser>
          <c:idx val="0"/>
          <c:order val="0"/>
          <c:tx>
            <c:strRef>
              <c:f>Sheet1!$D$1</c:f>
              <c:strCache>
                <c:ptCount val="1"/>
                <c:pt idx="0">
                  <c:v>Անվանական</c:v>
                </c:pt>
              </c:strCache>
            </c:strRef>
          </c:tx>
          <c:spPr>
            <a:ln w="28575" cap="rnd">
              <a:solidFill>
                <a:srgbClr val="1F497D"/>
              </a:solidFill>
              <a:round/>
            </a:ln>
            <a:effectLst/>
          </c:spPr>
          <c:marker>
            <c:symbol val="none"/>
          </c:marker>
          <c:cat>
            <c:multiLvlStrRef>
              <c:f>Sheet1!$A$26:$B$85</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Sheet1!$D$14:$D$85</c:f>
              <c:numCache>
                <c:formatCode>0.0</c:formatCode>
                <c:ptCount val="60"/>
                <c:pt idx="0">
                  <c:v>100</c:v>
                </c:pt>
                <c:pt idx="1">
                  <c:v>99.813270260176779</c:v>
                </c:pt>
                <c:pt idx="2">
                  <c:v>100.19295406448401</c:v>
                </c:pt>
                <c:pt idx="3">
                  <c:v>101.3133325034234</c:v>
                </c:pt>
                <c:pt idx="4">
                  <c:v>100.18050541516246</c:v>
                </c:pt>
                <c:pt idx="5">
                  <c:v>101.73036225569527</c:v>
                </c:pt>
                <c:pt idx="6">
                  <c:v>107.89244366986185</c:v>
                </c:pt>
                <c:pt idx="7">
                  <c:v>107.99825718909501</c:v>
                </c:pt>
                <c:pt idx="8">
                  <c:v>108.67670857711941</c:v>
                </c:pt>
                <c:pt idx="9">
                  <c:v>110.91124113033739</c:v>
                </c:pt>
                <c:pt idx="10">
                  <c:v>113.14577368355536</c:v>
                </c:pt>
                <c:pt idx="11">
                  <c:v>113.91758994149137</c:v>
                </c:pt>
                <c:pt idx="12">
                  <c:v>130.86020166811903</c:v>
                </c:pt>
                <c:pt idx="13">
                  <c:v>131.495082783518</c:v>
                </c:pt>
                <c:pt idx="14">
                  <c:v>140.30250217851363</c:v>
                </c:pt>
                <c:pt idx="15">
                  <c:v>137.32727499066351</c:v>
                </c:pt>
                <c:pt idx="16">
                  <c:v>137.00361010830326</c:v>
                </c:pt>
                <c:pt idx="17">
                  <c:v>143.76945101456494</c:v>
                </c:pt>
                <c:pt idx="18">
                  <c:v>150.69090003734595</c:v>
                </c:pt>
                <c:pt idx="19">
                  <c:v>154.84874891074318</c:v>
                </c:pt>
                <c:pt idx="20">
                  <c:v>155.63923814266153</c:v>
                </c:pt>
                <c:pt idx="21">
                  <c:v>160.97970870160586</c:v>
                </c:pt>
                <c:pt idx="22">
                  <c:v>162.71007095730113</c:v>
                </c:pt>
                <c:pt idx="23">
                  <c:v>164.75787377069585</c:v>
                </c:pt>
                <c:pt idx="24">
                  <c:v>185.82721274741689</c:v>
                </c:pt>
                <c:pt idx="25">
                  <c:v>192.33163201792601</c:v>
                </c:pt>
                <c:pt idx="26">
                  <c:v>198.18249719905384</c:v>
                </c:pt>
                <c:pt idx="27">
                  <c:v>201.55608116519352</c:v>
                </c:pt>
                <c:pt idx="28">
                  <c:v>201.97311091746539</c:v>
                </c:pt>
                <c:pt idx="29">
                  <c:v>206.9152246981202</c:v>
                </c:pt>
                <c:pt idx="30">
                  <c:v>212.3366114776546</c:v>
                </c:pt>
                <c:pt idx="31">
                  <c:v>217.5899414913481</c:v>
                </c:pt>
                <c:pt idx="32">
                  <c:v>219.92406323913846</c:v>
                </c:pt>
                <c:pt idx="33">
                  <c:v>212.0440682185982</c:v>
                </c:pt>
                <c:pt idx="34">
                  <c:v>206.87165442549474</c:v>
                </c:pt>
                <c:pt idx="35">
                  <c:v>204.80517863811767</c:v>
                </c:pt>
                <c:pt idx="36">
                  <c:v>212.51711689281703</c:v>
                </c:pt>
                <c:pt idx="37">
                  <c:v>216.58782522096342</c:v>
                </c:pt>
                <c:pt idx="38">
                  <c:v>219.6688659280467</c:v>
                </c:pt>
                <c:pt idx="39">
                  <c:v>227.98456367484116</c:v>
                </c:pt>
                <c:pt idx="40">
                  <c:v>226.93265280717029</c:v>
                </c:pt>
                <c:pt idx="41">
                  <c:v>225.02178513631256</c:v>
                </c:pt>
                <c:pt idx="42">
                  <c:v>223.92630399601629</c:v>
                </c:pt>
                <c:pt idx="43">
                  <c:v>224.09436076185719</c:v>
                </c:pt>
                <c:pt idx="44">
                  <c:v>225.13382298020653</c:v>
                </c:pt>
                <c:pt idx="45">
                  <c:v>232.08639362629143</c:v>
                </c:pt>
                <c:pt idx="46">
                  <c:v>237.99327772936627</c:v>
                </c:pt>
                <c:pt idx="47">
                  <c:v>238.50367235154977</c:v>
                </c:pt>
                <c:pt idx="48">
                  <c:v>251.4129216979957</c:v>
                </c:pt>
                <c:pt idx="49">
                  <c:v>242.87314826341333</c:v>
                </c:pt>
                <c:pt idx="50">
                  <c:v>236.87912361508768</c:v>
                </c:pt>
                <c:pt idx="51">
                  <c:v>233.48686667496571</c:v>
                </c:pt>
                <c:pt idx="52">
                  <c:v>230.84152869413663</c:v>
                </c:pt>
                <c:pt idx="53">
                  <c:v>229.89543134569894</c:v>
                </c:pt>
                <c:pt idx="54">
                  <c:v>229.87675837171659</c:v>
                </c:pt>
                <c:pt idx="55">
                  <c:v>232.94535042947834</c:v>
                </c:pt>
                <c:pt idx="56">
                  <c:v>236.74218847255068</c:v>
                </c:pt>
                <c:pt idx="57">
                  <c:v>235.70895057886213</c:v>
                </c:pt>
                <c:pt idx="58">
                  <c:v>235.85833437072071</c:v>
                </c:pt>
                <c:pt idx="59">
                  <c:v>235.03672351549849</c:v>
                </c:pt>
              </c:numCache>
            </c:numRef>
          </c:val>
          <c:smooth val="0"/>
          <c:extLst>
            <c:ext xmlns:c16="http://schemas.microsoft.com/office/drawing/2014/chart" uri="{C3380CC4-5D6E-409C-BE32-E72D297353CC}">
              <c16:uniqueId val="{00000000-633B-430E-B01C-401DD88403A1}"/>
            </c:ext>
          </c:extLst>
        </c:ser>
        <c:ser>
          <c:idx val="1"/>
          <c:order val="1"/>
          <c:tx>
            <c:strRef>
              <c:f>Sheet1!$C$1</c:f>
              <c:strCache>
                <c:ptCount val="1"/>
                <c:pt idx="0">
                  <c:v>Իրական</c:v>
                </c:pt>
              </c:strCache>
            </c:strRef>
          </c:tx>
          <c:spPr>
            <a:ln w="28575" cap="rnd">
              <a:solidFill>
                <a:srgbClr val="F79646"/>
              </a:solidFill>
              <a:round/>
            </a:ln>
            <a:effectLst/>
          </c:spPr>
          <c:marker>
            <c:symbol val="none"/>
          </c:marker>
          <c:cat>
            <c:multiLvlStrRef>
              <c:f>Sheet1!$A$26:$B$85</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Sheet1!$C$14:$C$85</c:f>
              <c:numCache>
                <c:formatCode>0.0</c:formatCode>
                <c:ptCount val="60"/>
                <c:pt idx="0">
                  <c:v>100</c:v>
                </c:pt>
                <c:pt idx="1">
                  <c:v>99.724271555257474</c:v>
                </c:pt>
                <c:pt idx="2">
                  <c:v>100.4173187271779</c:v>
                </c:pt>
                <c:pt idx="3">
                  <c:v>102.22818391832479</c:v>
                </c:pt>
                <c:pt idx="4">
                  <c:v>100.23101572397348</c:v>
                </c:pt>
                <c:pt idx="5">
                  <c:v>100.41731872717789</c:v>
                </c:pt>
                <c:pt idx="6">
                  <c:v>105.43259557344065</c:v>
                </c:pt>
                <c:pt idx="7">
                  <c:v>105.46985617408156</c:v>
                </c:pt>
                <c:pt idx="8">
                  <c:v>105.36552649228707</c:v>
                </c:pt>
                <c:pt idx="9">
                  <c:v>107.05715776138315</c:v>
                </c:pt>
                <c:pt idx="10">
                  <c:v>110.11252701393551</c:v>
                </c:pt>
                <c:pt idx="11">
                  <c:v>111.46136075713545</c:v>
                </c:pt>
                <c:pt idx="12">
                  <c:v>127.49087115284306</c:v>
                </c:pt>
                <c:pt idx="13">
                  <c:v>126.79037186079444</c:v>
                </c:pt>
                <c:pt idx="14">
                  <c:v>133.15448245025715</c:v>
                </c:pt>
                <c:pt idx="15">
                  <c:v>131.47775542141744</c:v>
                </c:pt>
                <c:pt idx="16">
                  <c:v>130.38974588270366</c:v>
                </c:pt>
                <c:pt idx="17">
                  <c:v>135.70310753409348</c:v>
                </c:pt>
                <c:pt idx="18">
                  <c:v>139.70489604292425</c:v>
                </c:pt>
                <c:pt idx="19">
                  <c:v>143.34898278560254</c:v>
                </c:pt>
                <c:pt idx="20">
                  <c:v>143.94515239585664</c:v>
                </c:pt>
                <c:pt idx="21">
                  <c:v>148.14069602801996</c:v>
                </c:pt>
                <c:pt idx="22">
                  <c:v>150.88307623518889</c:v>
                </c:pt>
                <c:pt idx="23">
                  <c:v>153.96825396825398</c:v>
                </c:pt>
                <c:pt idx="24">
                  <c:v>172.80721365228408</c:v>
                </c:pt>
                <c:pt idx="25">
                  <c:v>177.89701169982862</c:v>
                </c:pt>
                <c:pt idx="26">
                  <c:v>181.87644384827487</c:v>
                </c:pt>
                <c:pt idx="27">
                  <c:v>183.25508607198751</c:v>
                </c:pt>
                <c:pt idx="28">
                  <c:v>179.84946717341086</c:v>
                </c:pt>
                <c:pt idx="29">
                  <c:v>180.63939190699756</c:v>
                </c:pt>
                <c:pt idx="30">
                  <c:v>182.24159773455551</c:v>
                </c:pt>
                <c:pt idx="31">
                  <c:v>185.6919293539012</c:v>
                </c:pt>
                <c:pt idx="32">
                  <c:v>188.10641627543035</c:v>
                </c:pt>
                <c:pt idx="33">
                  <c:v>180.81079066994559</c:v>
                </c:pt>
                <c:pt idx="34">
                  <c:v>176.53327371637229</c:v>
                </c:pt>
                <c:pt idx="35">
                  <c:v>175.43035993740219</c:v>
                </c:pt>
                <c:pt idx="36">
                  <c:v>186.68306133094865</c:v>
                </c:pt>
                <c:pt idx="37">
                  <c:v>187.31649154184365</c:v>
                </c:pt>
                <c:pt idx="38">
                  <c:v>189.89492510619272</c:v>
                </c:pt>
                <c:pt idx="39">
                  <c:v>196.34100901706537</c:v>
                </c:pt>
                <c:pt idx="40">
                  <c:v>192.74908711528428</c:v>
                </c:pt>
                <c:pt idx="41">
                  <c:v>188.33743199940383</c:v>
                </c:pt>
                <c:pt idx="42">
                  <c:v>185.26715850659517</c:v>
                </c:pt>
                <c:pt idx="43">
                  <c:v>184.89455250018634</c:v>
                </c:pt>
                <c:pt idx="44">
                  <c:v>185.39384454877415</c:v>
                </c:pt>
                <c:pt idx="45">
                  <c:v>190.26753111260155</c:v>
                </c:pt>
                <c:pt idx="46">
                  <c:v>196.63164170206429</c:v>
                </c:pt>
                <c:pt idx="47">
                  <c:v>197.71219912064987</c:v>
                </c:pt>
                <c:pt idx="48">
                  <c:v>211.92339220508239</c:v>
                </c:pt>
                <c:pt idx="49">
                  <c:v>203.55466130114021</c:v>
                </c:pt>
                <c:pt idx="50">
                  <c:v>199.12810194500341</c:v>
                </c:pt>
                <c:pt idx="51">
                  <c:v>195.63305760488865</c:v>
                </c:pt>
                <c:pt idx="52">
                  <c:v>193.23347492361586</c:v>
                </c:pt>
                <c:pt idx="53">
                  <c:v>189.23913853491328</c:v>
                </c:pt>
                <c:pt idx="54">
                  <c:v>186.54147104851339</c:v>
                </c:pt>
                <c:pt idx="55">
                  <c:v>189.29875549593868</c:v>
                </c:pt>
                <c:pt idx="56">
                  <c:v>192.17527386541477</c:v>
                </c:pt>
                <c:pt idx="57">
                  <c:v>190.49854683657506</c:v>
                </c:pt>
                <c:pt idx="58">
                  <c:v>191.39280125195623</c:v>
                </c:pt>
                <c:pt idx="59">
                  <c:v>192.34667262836285</c:v>
                </c:pt>
              </c:numCache>
            </c:numRef>
          </c:val>
          <c:smooth val="0"/>
          <c:extLst>
            <c:ext xmlns:c16="http://schemas.microsoft.com/office/drawing/2014/chart" uri="{C3380CC4-5D6E-409C-BE32-E72D297353CC}">
              <c16:uniqueId val="{00000001-633B-430E-B01C-401DD88403A1}"/>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tickLblSkip val="1"/>
        <c:noMultiLvlLbl val="0"/>
      </c:catAx>
      <c:valAx>
        <c:axId val="175954944"/>
        <c:scaling>
          <c:orientation val="minMax"/>
          <c:min val="40"/>
        </c:scaling>
        <c:delete val="0"/>
        <c:axPos val="r"/>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majorUnit val="40"/>
        <c:minorUnit val="20"/>
      </c:valAx>
      <c:spPr>
        <a:noFill/>
        <a:ln>
          <a:noFill/>
        </a:ln>
        <a:effectLst/>
      </c:spPr>
    </c:plotArea>
    <c:legend>
      <c:legendPos val="b"/>
      <c:layout>
        <c:manualLayout>
          <c:xMode val="edge"/>
          <c:yMode val="edge"/>
          <c:x val="0.15800041360960809"/>
          <c:y val="0.90165374688692512"/>
          <c:w val="0.68386371208242935"/>
          <c:h val="9.8348615513969839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sz="1000" b="0" baseline="0">
                <a:solidFill>
                  <a:schemeClr val="tx1">
                    <a:lumMod val="65000"/>
                    <a:lumOff val="35000"/>
                  </a:schemeClr>
                </a:solidFill>
              </a:defRPr>
            </a:pPr>
            <a:r>
              <a:rPr lang="en-US" sz="1000" b="0" baseline="0">
                <a:solidFill>
                  <a:schemeClr val="tx1">
                    <a:lumMod val="65000"/>
                    <a:lumOff val="35000"/>
                  </a:schemeClr>
                </a:solidFill>
              </a:rPr>
              <a:t>Վարկերի</a:t>
            </a:r>
            <a:r>
              <a:rPr lang="hy-AM" sz="1000" b="0" baseline="0">
                <a:solidFill>
                  <a:schemeClr val="tx1">
                    <a:lumMod val="65000"/>
                    <a:lumOff val="35000"/>
                  </a:schemeClr>
                </a:solidFill>
              </a:rPr>
              <a:t> </a:t>
            </a:r>
            <a:r>
              <a:rPr lang="en-US" sz="1000" b="0" baseline="0">
                <a:solidFill>
                  <a:schemeClr val="tx1">
                    <a:lumMod val="65000"/>
                    <a:lumOff val="35000"/>
                  </a:schemeClr>
                </a:solidFill>
              </a:rPr>
              <a:t>ծավալների աճ</a:t>
            </a:r>
            <a:r>
              <a:rPr lang="hy-AM" sz="1000" b="0" baseline="0">
                <a:solidFill>
                  <a:schemeClr val="tx1">
                    <a:lumMod val="65000"/>
                    <a:lumOff val="35000"/>
                  </a:schemeClr>
                </a:solidFill>
              </a:rPr>
              <a:t> </a:t>
            </a:r>
            <a:r>
              <a:rPr lang="ru-RU" sz="1000" b="0" baseline="0">
                <a:solidFill>
                  <a:schemeClr val="tx1">
                    <a:lumMod val="65000"/>
                    <a:lumOff val="35000"/>
                  </a:schemeClr>
                </a:solidFill>
              </a:rPr>
              <a:t>(</a:t>
            </a:r>
            <a:r>
              <a:rPr lang="hy-AM" sz="1000" b="0" baseline="0">
                <a:solidFill>
                  <a:schemeClr val="tx1">
                    <a:lumMod val="65000"/>
                    <a:lumOff val="35000"/>
                  </a:schemeClr>
                </a:solidFill>
              </a:rPr>
              <a:t>ռեզիդենտների</a:t>
            </a:r>
            <a:r>
              <a:rPr lang="ru-RU" sz="1000" b="0" baseline="0">
                <a:solidFill>
                  <a:schemeClr val="tx1">
                    <a:lumMod val="65000"/>
                    <a:lumOff val="35000"/>
                  </a:schemeClr>
                </a:solidFill>
              </a:rPr>
              <a:t>)</a:t>
            </a:r>
            <a:r>
              <a:rPr lang="en-US" sz="1000" b="0" baseline="0">
                <a:solidFill>
                  <a:schemeClr val="tx1">
                    <a:lumMod val="65000"/>
                    <a:lumOff val="35000"/>
                  </a:schemeClr>
                </a:solidFill>
              </a:rPr>
              <a:t>, 202</a:t>
            </a:r>
            <a:r>
              <a:rPr lang="hy-AM" sz="1000" b="0" baseline="0">
                <a:solidFill>
                  <a:schemeClr val="tx1">
                    <a:lumMod val="65000"/>
                    <a:lumOff val="35000"/>
                  </a:schemeClr>
                </a:solidFill>
              </a:rPr>
              <a:t>4-</a:t>
            </a:r>
            <a:r>
              <a:rPr lang="en-US" sz="1000" b="0" baseline="0">
                <a:solidFill>
                  <a:schemeClr val="tx1">
                    <a:lumMod val="65000"/>
                    <a:lumOff val="35000"/>
                  </a:schemeClr>
                </a:solidFill>
              </a:rPr>
              <a:t>20</a:t>
            </a:r>
            <a:r>
              <a:rPr lang="hy-AM" sz="1000" b="0" baseline="0">
                <a:solidFill>
                  <a:schemeClr val="tx1">
                    <a:lumMod val="65000"/>
                    <a:lumOff val="35000"/>
                  </a:schemeClr>
                </a:solidFill>
              </a:rPr>
              <a:t>25</a:t>
            </a:r>
            <a:r>
              <a:rPr lang="en-US" sz="1000" b="0" baseline="0">
                <a:solidFill>
                  <a:schemeClr val="tx1">
                    <a:lumMod val="65000"/>
                    <a:lumOff val="35000"/>
                  </a:schemeClr>
                </a:solidFill>
              </a:rPr>
              <a:t>թ</a:t>
            </a:r>
            <a:r>
              <a:rPr lang="hy-AM" sz="1000" b="0" baseline="0">
                <a:solidFill>
                  <a:schemeClr val="tx1">
                    <a:lumMod val="65000"/>
                    <a:lumOff val="35000"/>
                  </a:schemeClr>
                </a:solidFill>
              </a:rPr>
              <a:t>թ․</a:t>
            </a:r>
            <a:endParaRPr lang="en-US" sz="1000" b="0" baseline="0">
              <a:solidFill>
                <a:schemeClr val="tx1">
                  <a:lumMod val="65000"/>
                  <a:lumOff val="35000"/>
                </a:schemeClr>
              </a:solidFill>
            </a:endParaRPr>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882726649246020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3C20-43A4-AFC2-ED0E649ACA82}"/>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3C20-43A4-AFC2-ED0E649ACA82}"/>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3C20-43A4-AFC2-ED0E649ACA82}"/>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3C20-43A4-AFC2-ED0E649ACA82}"/>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3C20-43A4-AFC2-ED0E649ACA82}"/>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Ref>
          </c:val>
          <c:smooth val="0"/>
          <c:extLst>
            <c:ext xmlns:c16="http://schemas.microsoft.com/office/drawing/2014/chart" uri="{C3380CC4-5D6E-409C-BE32-E72D297353CC}">
              <c16:uniqueId val="{00000005-3C20-43A4-AFC2-ED0E649ACA82}"/>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C20-43A4-AFC2-ED0E649ACA8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3C20-43A4-AFC2-ED0E649ACA82}"/>
            </c:ext>
          </c:extLst>
        </c:ser>
        <c:ser>
          <c:idx val="7"/>
          <c:order val="7"/>
          <c:tx>
            <c:strRef>
              <c:f>Sheet1!$I$1</c:f>
              <c:strCache>
                <c:ptCount val="1"/>
                <c:pt idx="0">
                  <c:v>2024</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21.7461730396967</c:v>
                </c:pt>
                <c:pt idx="1">
                  <c:v>21.688581007415905</c:v>
                </c:pt>
                <c:pt idx="2">
                  <c:v>19.73703043726529</c:v>
                </c:pt>
                <c:pt idx="3">
                  <c:v>19.857256752747858</c:v>
                </c:pt>
                <c:pt idx="4">
                  <c:v>20.004331439745982</c:v>
                </c:pt>
                <c:pt idx="5">
                  <c:v>20.312680484584988</c:v>
                </c:pt>
                <c:pt idx="6">
                  <c:v>19.912198419657699</c:v>
                </c:pt>
                <c:pt idx="7">
                  <c:v>22.139936364942557</c:v>
                </c:pt>
                <c:pt idx="8">
                  <c:v>23.169612503405816</c:v>
                </c:pt>
                <c:pt idx="9">
                  <c:v>23.3890250930137</c:v>
                </c:pt>
                <c:pt idx="10">
                  <c:v>24.503621917249546</c:v>
                </c:pt>
                <c:pt idx="11">
                  <c:v>27.131234945307853</c:v>
                </c:pt>
              </c:numCache>
            </c:numRef>
          </c:val>
          <c:smooth val="0"/>
          <c:extLst>
            <c:ext xmlns:c16="http://schemas.microsoft.com/office/drawing/2014/chart" uri="{C3380CC4-5D6E-409C-BE32-E72D297353CC}">
              <c16:uniqueId val="{00000008-3C20-43A4-AFC2-ED0E649ACA82}"/>
            </c:ext>
          </c:extLst>
        </c:ser>
        <c:ser>
          <c:idx val="8"/>
          <c:order val="8"/>
          <c:tx>
            <c:strRef>
              <c:f>Sheet1!$J$1</c:f>
              <c:strCache>
                <c:ptCount val="1"/>
                <c:pt idx="0">
                  <c:v>2025</c:v>
                </c:pt>
              </c:strCache>
            </c:strRef>
          </c:tx>
          <c:spPr>
            <a:ln>
              <a:solidFill>
                <a:srgbClr val="4F81BD">
                  <a:lumMod val="75000"/>
                </a:srgbClr>
              </a:solidFill>
            </a:ln>
          </c:spPr>
          <c:marker>
            <c:symbol val="circle"/>
            <c:size val="5"/>
            <c:spPr>
              <a:solidFill>
                <a:srgbClr val="4F81BD">
                  <a:lumMod val="75000"/>
                </a:srgbClr>
              </a:solidFill>
              <a:ln>
                <a:solidFill>
                  <a:srgbClr val="4F81B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Sheet1!$J$2:$J$13</c:f>
              <c:numCache>
                <c:formatCode>0.0</c:formatCode>
                <c:ptCount val="12"/>
                <c:pt idx="0">
                  <c:v>28.20890546842702</c:v>
                </c:pt>
                <c:pt idx="1">
                  <c:v>27.644233245191828</c:v>
                </c:pt>
                <c:pt idx="2">
                  <c:v>29.438799002649176</c:v>
                </c:pt>
                <c:pt idx="3">
                  <c:v>30.416183738924644</c:v>
                </c:pt>
                <c:pt idx="4">
                  <c:v>29.126340506937339</c:v>
                </c:pt>
                <c:pt idx="5">
                  <c:v>29.933231496555607</c:v>
                </c:pt>
                <c:pt idx="6">
                  <c:v>29.267220554117642</c:v>
                </c:pt>
                <c:pt idx="7">
                  <c:v>27.917681096022221</c:v>
                </c:pt>
                <c:pt idx="8">
                  <c:v>27.160267342982223</c:v>
                </c:pt>
                <c:pt idx="9">
                  <c:v>27.018060180215556</c:v>
                </c:pt>
                <c:pt idx="10">
                  <c:v>24.357092635331526</c:v>
                </c:pt>
                <c:pt idx="11">
                  <c:v>22.240569979664656</c:v>
                </c:pt>
              </c:numCache>
            </c:numRef>
          </c:val>
          <c:smooth val="0"/>
          <c:extLst>
            <c:ext xmlns:c16="http://schemas.microsoft.com/office/drawing/2014/chart" uri="{C3380CC4-5D6E-409C-BE32-E72D297353CC}">
              <c16:uniqueId val="{00000009-3C20-43A4-AFC2-ED0E649ACA82}"/>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none"/>
        <c:minorTickMark val="none"/>
        <c:tickLblPos val="low"/>
        <c:spPr>
          <a:ln>
            <a:noFill/>
          </a:ln>
        </c:spPr>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scaling>
        <c:delete val="0"/>
        <c:axPos val="l"/>
        <c:majorGridlines>
          <c:spPr>
            <a:ln>
              <a:solidFill>
                <a:sysClr val="window" lastClr="FFFFFF">
                  <a:lumMod val="85000"/>
                </a:sysClr>
              </a:solidFill>
            </a:ln>
          </c:spPr>
        </c:majorGridlines>
        <c:numFmt formatCode="0" sourceLinked="0"/>
        <c:majorTickMark val="none"/>
        <c:minorTickMark val="none"/>
        <c:tickLblPos val="nextTo"/>
        <c:spPr>
          <a:ln>
            <a:noFill/>
          </a:ln>
        </c:spPr>
        <c:txPr>
          <a:bodyPr/>
          <a:lstStyle/>
          <a:p>
            <a:pPr>
              <a:defRPr baseline="0">
                <a:solidFill>
                  <a:schemeClr val="tx1">
                    <a:lumMod val="65000"/>
                    <a:lumOff val="35000"/>
                  </a:schemeClr>
                </a:solidFill>
              </a:defRPr>
            </a:pPr>
            <a:endParaRPr lang="en-US"/>
          </a:p>
        </c:txPr>
        <c:crossAx val="341285120"/>
        <c:crosses val="autoZero"/>
        <c:crossBetween val="between"/>
      </c:valAx>
      <c:spPr>
        <a:ln>
          <a:noFill/>
        </a:ln>
      </c:spPr>
    </c:plotArea>
    <c:legend>
      <c:legendPos val="r"/>
      <c:layout>
        <c:manualLayout>
          <c:xMode val="edge"/>
          <c:yMode val="edge"/>
          <c:x val="1.6617835561252514E-2"/>
          <c:y val="0.8192722870308673"/>
          <c:w val="0.20146367028900858"/>
          <c:h val="0.15836095460504043"/>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sz="1000" b="0" baseline="0">
                <a:solidFill>
                  <a:schemeClr val="tx1">
                    <a:lumMod val="65000"/>
                    <a:lumOff val="35000"/>
                  </a:schemeClr>
                </a:solidFill>
              </a:defRPr>
            </a:pPr>
            <a:r>
              <a:rPr lang="en-US" sz="1000" b="0" baseline="0">
                <a:solidFill>
                  <a:schemeClr val="tx1">
                    <a:lumMod val="65000"/>
                    <a:lumOff val="35000"/>
                  </a:schemeClr>
                </a:solidFill>
              </a:rPr>
              <a:t>Ավանդների ծավալների աճ</a:t>
            </a:r>
            <a:r>
              <a:rPr lang="hy-AM" sz="1000" b="0" baseline="0">
                <a:solidFill>
                  <a:schemeClr val="tx1">
                    <a:lumMod val="65000"/>
                    <a:lumOff val="35000"/>
                  </a:schemeClr>
                </a:solidFill>
              </a:rPr>
              <a:t> </a:t>
            </a:r>
            <a:r>
              <a:rPr lang="ru-RU" sz="1000" b="0" baseline="0">
                <a:solidFill>
                  <a:schemeClr val="tx1">
                    <a:lumMod val="65000"/>
                    <a:lumOff val="35000"/>
                  </a:schemeClr>
                </a:solidFill>
              </a:rPr>
              <a:t>(</a:t>
            </a:r>
            <a:r>
              <a:rPr lang="hy-AM" sz="1000" b="0" baseline="0">
                <a:solidFill>
                  <a:schemeClr val="tx1">
                    <a:lumMod val="65000"/>
                    <a:lumOff val="35000"/>
                  </a:schemeClr>
                </a:solidFill>
              </a:rPr>
              <a:t>ռեզիդենտների</a:t>
            </a:r>
            <a:r>
              <a:rPr lang="ru-RU" sz="1000" b="0" baseline="0">
                <a:solidFill>
                  <a:schemeClr val="tx1">
                    <a:lumMod val="65000"/>
                    <a:lumOff val="35000"/>
                  </a:schemeClr>
                </a:solidFill>
              </a:rPr>
              <a:t>)</a:t>
            </a:r>
            <a:r>
              <a:rPr lang="en-US" sz="1000" b="0" baseline="0">
                <a:solidFill>
                  <a:schemeClr val="tx1">
                    <a:lumMod val="65000"/>
                    <a:lumOff val="35000"/>
                  </a:schemeClr>
                </a:solidFill>
              </a:rPr>
              <a:t>, 20</a:t>
            </a:r>
            <a:r>
              <a:rPr lang="hy-AM" sz="1000" b="0" baseline="0">
                <a:solidFill>
                  <a:schemeClr val="tx1">
                    <a:lumMod val="65000"/>
                    <a:lumOff val="35000"/>
                  </a:schemeClr>
                </a:solidFill>
              </a:rPr>
              <a:t>24-</a:t>
            </a:r>
            <a:r>
              <a:rPr lang="en-US" sz="1000" b="0" baseline="0">
                <a:solidFill>
                  <a:schemeClr val="tx1">
                    <a:lumMod val="65000"/>
                    <a:lumOff val="35000"/>
                  </a:schemeClr>
                </a:solidFill>
              </a:rPr>
              <a:t>20</a:t>
            </a:r>
            <a:r>
              <a:rPr lang="hy-AM" sz="1000" b="0" baseline="0">
                <a:solidFill>
                  <a:schemeClr val="tx1">
                    <a:lumMod val="65000"/>
                    <a:lumOff val="35000"/>
                  </a:schemeClr>
                </a:solidFill>
              </a:rPr>
              <a:t>25</a:t>
            </a:r>
            <a:r>
              <a:rPr lang="en-US" sz="1000" b="0" baseline="0">
                <a:solidFill>
                  <a:schemeClr val="tx1">
                    <a:lumMod val="65000"/>
                    <a:lumOff val="35000"/>
                  </a:schemeClr>
                </a:solidFill>
              </a:rPr>
              <a:t>թ</a:t>
            </a:r>
            <a:r>
              <a:rPr lang="hy-AM" sz="1000" b="0" baseline="0">
                <a:solidFill>
                  <a:schemeClr val="tx1">
                    <a:lumMod val="65000"/>
                    <a:lumOff val="35000"/>
                  </a:schemeClr>
                </a:solidFill>
              </a:rPr>
              <a:t>թ</a:t>
            </a:r>
            <a:r>
              <a:rPr lang="en-US" sz="1000" b="0" i="0" u="none" strike="noStrike" kern="1200" baseline="0">
                <a:solidFill>
                  <a:schemeClr val="tx1">
                    <a:lumMod val="65000"/>
                    <a:lumOff val="35000"/>
                  </a:schemeClr>
                </a:solidFill>
                <a:latin typeface="GHEA Grapalat" panose="02000506050000020003" pitchFamily="50" charset="0"/>
                <a:ea typeface="+mn-ea"/>
                <a:cs typeface="+mn-cs"/>
              </a:rPr>
              <a:t>.</a:t>
            </a:r>
            <a:endParaRPr lang="en-US" sz="1000" b="0" baseline="0">
              <a:solidFill>
                <a:schemeClr val="tx1">
                  <a:lumMod val="65000"/>
                  <a:lumOff val="35000"/>
                </a:schemeClr>
              </a:solidFill>
            </a:endParaRPr>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672497254887238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F466-4B07-974A-C12B6BCE01E0}"/>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F466-4B07-974A-C12B6BCE01E0}"/>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F466-4B07-974A-C12B6BCE01E0}"/>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F466-4B07-974A-C12B6BCE01E0}"/>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F466-4B07-974A-C12B6BCE01E0}"/>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Ref>
          </c:val>
          <c:smooth val="0"/>
          <c:extLst>
            <c:ext xmlns:c16="http://schemas.microsoft.com/office/drawing/2014/chart" uri="{C3380CC4-5D6E-409C-BE32-E72D297353CC}">
              <c16:uniqueId val="{00000005-F466-4B07-974A-C12B6BCE01E0}"/>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F466-4B07-974A-C12B6BCE01E0}"/>
            </c:ext>
          </c:extLst>
        </c:ser>
        <c:ser>
          <c:idx val="7"/>
          <c:order val="7"/>
          <c:tx>
            <c:strRef>
              <c:f>Sheet1!$I$1</c:f>
              <c:strCache>
                <c:ptCount val="1"/>
                <c:pt idx="0">
                  <c:v>2024</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16.431630603305365</c:v>
                </c:pt>
                <c:pt idx="1">
                  <c:v>15.161210377500396</c:v>
                </c:pt>
                <c:pt idx="2">
                  <c:v>11.953406586701163</c:v>
                </c:pt>
                <c:pt idx="3">
                  <c:v>10.470692239672942</c:v>
                </c:pt>
                <c:pt idx="4">
                  <c:v>14.910124818629072</c:v>
                </c:pt>
                <c:pt idx="5">
                  <c:v>14.034599941619746</c:v>
                </c:pt>
                <c:pt idx="6">
                  <c:v>12.897838441048464</c:v>
                </c:pt>
                <c:pt idx="7">
                  <c:v>12.311352146659743</c:v>
                </c:pt>
                <c:pt idx="8">
                  <c:v>12.29726945652925</c:v>
                </c:pt>
                <c:pt idx="9">
                  <c:v>11.641527091085806</c:v>
                </c:pt>
                <c:pt idx="10">
                  <c:v>13.038959329198434</c:v>
                </c:pt>
                <c:pt idx="11">
                  <c:v>15.049762276573858</c:v>
                </c:pt>
              </c:numCache>
            </c:numRef>
          </c:val>
          <c:smooth val="0"/>
          <c:extLst>
            <c:ext xmlns:c16="http://schemas.microsoft.com/office/drawing/2014/chart" uri="{C3380CC4-5D6E-409C-BE32-E72D297353CC}">
              <c16:uniqueId val="{00000007-F466-4B07-974A-C12B6BCE01E0}"/>
            </c:ext>
          </c:extLst>
        </c:ser>
        <c:ser>
          <c:idx val="8"/>
          <c:order val="8"/>
          <c:tx>
            <c:strRef>
              <c:f>Sheet1!$J$1</c:f>
              <c:strCache>
                <c:ptCount val="1"/>
                <c:pt idx="0">
                  <c:v>2025</c:v>
                </c:pt>
              </c:strCache>
            </c:strRef>
          </c:tx>
          <c:spPr>
            <a:ln>
              <a:solidFill>
                <a:srgbClr val="4F81BD">
                  <a:lumMod val="75000"/>
                </a:srgbClr>
              </a:solidFill>
            </a:ln>
          </c:spPr>
          <c:marker>
            <c:symbol val="circle"/>
            <c:size val="5"/>
            <c:spPr>
              <a:solidFill>
                <a:srgbClr val="4F81BD">
                  <a:lumMod val="75000"/>
                </a:srgbClr>
              </a:solidFill>
              <a:ln>
                <a:solidFill>
                  <a:srgbClr val="4F81B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Sheet1!$J$2:$J$13</c:f>
              <c:numCache>
                <c:formatCode>0.0</c:formatCode>
                <c:ptCount val="12"/>
                <c:pt idx="0">
                  <c:v>14.524215530804156</c:v>
                </c:pt>
                <c:pt idx="1">
                  <c:v>13.739576713104839</c:v>
                </c:pt>
                <c:pt idx="2">
                  <c:v>16.693574575377951</c:v>
                </c:pt>
                <c:pt idx="3">
                  <c:v>18.424003037808646</c:v>
                </c:pt>
                <c:pt idx="4">
                  <c:v>13.809091882605415</c:v>
                </c:pt>
                <c:pt idx="5">
                  <c:v>16.704686280619541</c:v>
                </c:pt>
                <c:pt idx="6">
                  <c:v>16.809702645798438</c:v>
                </c:pt>
                <c:pt idx="7">
                  <c:v>15.840991542015885</c:v>
                </c:pt>
                <c:pt idx="8">
                  <c:v>16.488275697098743</c:v>
                </c:pt>
                <c:pt idx="9">
                  <c:v>17.798490065532974</c:v>
                </c:pt>
                <c:pt idx="10">
                  <c:v>16.520207644481715</c:v>
                </c:pt>
                <c:pt idx="11">
                  <c:v>18.216822842386662</c:v>
                </c:pt>
              </c:numCache>
            </c:numRef>
          </c:val>
          <c:smooth val="0"/>
          <c:extLst>
            <c:ext xmlns:c16="http://schemas.microsoft.com/office/drawing/2014/chart" uri="{C3380CC4-5D6E-409C-BE32-E72D297353CC}">
              <c16:uniqueId val="{00000008-F466-4B07-974A-C12B6BCE01E0}"/>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none"/>
        <c:minorTickMark val="none"/>
        <c:tickLblPos val="nextTo"/>
        <c:spPr>
          <a:ln>
            <a:noFill/>
          </a:ln>
        </c:spPr>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35"/>
        </c:scaling>
        <c:delete val="0"/>
        <c:axPos val="l"/>
        <c:majorGridlines>
          <c:spPr>
            <a:ln>
              <a:solidFill>
                <a:sysClr val="window" lastClr="FFFFFF">
                  <a:lumMod val="85000"/>
                </a:sysClr>
              </a:solidFill>
            </a:ln>
          </c:spPr>
        </c:majorGridlines>
        <c:numFmt formatCode="0" sourceLinked="0"/>
        <c:majorTickMark val="none"/>
        <c:minorTickMark val="none"/>
        <c:tickLblPos val="nextTo"/>
        <c:spPr>
          <a:ln>
            <a:noFill/>
          </a:ln>
        </c:spPr>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6.7327254702624878E-2"/>
          <c:y val="0.82463787974059855"/>
          <c:w val="0.20146367028900858"/>
          <c:h val="0.15836095460504043"/>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Ռեզիդենտների վարկային պորտֆելը, մլրդ ՀՀ դրամ</a:t>
            </a:r>
            <a:endParaRPr lang="en-US" sz="1000" baseline="0">
              <a:solidFill>
                <a:schemeClr val="tx1">
                  <a:lumMod val="65000"/>
                  <a:lumOff val="35000"/>
                </a:schemeClr>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60858350919392"/>
          <c:y val="0.16673605986682757"/>
          <c:w val="0.79291716777477739"/>
          <c:h val="0.42353908383621303"/>
        </c:manualLayout>
      </c:layout>
      <c:areaChart>
        <c:grouping val="standard"/>
        <c:varyColors val="0"/>
        <c:ser>
          <c:idx val="5"/>
          <c:order val="5"/>
          <c:tx>
            <c:strRef>
              <c:f>Sheet1!#REF!</c:f>
              <c:strCache>
                <c:ptCount val="1"/>
                <c:pt idx="0">
                  <c:v>#REF!</c:v>
                </c:pt>
              </c:strCache>
            </c:strRef>
          </c:tx>
          <c:spPr>
            <a:solidFill>
              <a:schemeClr val="accent6"/>
            </a:solidFill>
            <a:ln>
              <a:noFill/>
            </a:ln>
            <a:effectLst/>
          </c:spP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Sheet1!#REF!</c:f>
              <c:numCache>
                <c:formatCode>General</c:formatCode>
                <c:ptCount val="1"/>
                <c:pt idx="0">
                  <c:v>1</c:v>
                </c:pt>
              </c:numCache>
            </c:numRef>
          </c:val>
          <c:extLst>
            <c:ext xmlns:c16="http://schemas.microsoft.com/office/drawing/2014/chart" uri="{C3380CC4-5D6E-409C-BE32-E72D297353CC}">
              <c16:uniqueId val="{00000000-72D2-4C8C-8EE7-48CE3E1F1D30}"/>
            </c:ext>
          </c:extLst>
        </c:ser>
        <c:ser>
          <c:idx val="6"/>
          <c:order val="6"/>
          <c:tx>
            <c:strRef>
              <c:f>Sheet1!#REF!</c:f>
              <c:strCache>
                <c:ptCount val="1"/>
                <c:pt idx="0">
                  <c:v>#REF!</c:v>
                </c:pt>
              </c:strCache>
            </c:strRef>
          </c:tx>
          <c:spPr>
            <a:solidFill>
              <a:schemeClr val="tx2">
                <a:lumMod val="20000"/>
                <a:lumOff val="80000"/>
                <a:alpha val="50000"/>
              </a:schemeClr>
            </a:solidFill>
            <a:ln>
              <a:noFill/>
            </a:ln>
            <a:effectLst/>
          </c:spP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Sheet1!#REF!</c:f>
              <c:numCache>
                <c:formatCode>General</c:formatCode>
                <c:ptCount val="1"/>
                <c:pt idx="0">
                  <c:v>1</c:v>
                </c:pt>
              </c:numCache>
            </c:numRef>
          </c:val>
          <c:extLst>
            <c:ext xmlns:c16="http://schemas.microsoft.com/office/drawing/2014/chart" uri="{C3380CC4-5D6E-409C-BE32-E72D297353CC}">
              <c16:uniqueId val="{00000001-72D2-4C8C-8EE7-48CE3E1F1D30}"/>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Sheet1!$C$2:$C$80</c:f>
              <c:numCache>
                <c:formatCode>0.0</c:formatCode>
                <c:ptCount val="20"/>
                <c:pt idx="0">
                  <c:v>2058.2904445340987</c:v>
                </c:pt>
                <c:pt idx="1">
                  <c:v>1874.9306325566433</c:v>
                </c:pt>
                <c:pt idx="2">
                  <c:v>1864.8345049899881</c:v>
                </c:pt>
                <c:pt idx="3">
                  <c:v>1866.9592440000001</c:v>
                </c:pt>
                <c:pt idx="4">
                  <c:v>1953.3413880000001</c:v>
                </c:pt>
                <c:pt idx="5">
                  <c:v>1864.9754969999999</c:v>
                </c:pt>
                <c:pt idx="6">
                  <c:v>1932.2040400000001</c:v>
                </c:pt>
                <c:pt idx="7">
                  <c:v>2018.1391098068989</c:v>
                </c:pt>
                <c:pt idx="8">
                  <c:v>2021.4417943470046</c:v>
                </c:pt>
                <c:pt idx="9">
                  <c:v>2091.7471015572514</c:v>
                </c:pt>
                <c:pt idx="10">
                  <c:v>2208.6069765205998</c:v>
                </c:pt>
                <c:pt idx="11">
                  <c:v>2356.6030171250004</c:v>
                </c:pt>
                <c:pt idx="12">
                  <c:v>2331.0238533331003</c:v>
                </c:pt>
                <c:pt idx="13">
                  <c:v>2462.7363195613998</c:v>
                </c:pt>
                <c:pt idx="14">
                  <c:v>2642.0447835650994</c:v>
                </c:pt>
                <c:pt idx="15">
                  <c:v>2832.9139404473999</c:v>
                </c:pt>
                <c:pt idx="16">
                  <c:v>2928.1275937799001</c:v>
                </c:pt>
                <c:pt idx="17">
                  <c:v>3026.8358457233003</c:v>
                </c:pt>
                <c:pt idx="18">
                  <c:v>3185.1799574486004</c:v>
                </c:pt>
                <c:pt idx="19">
                  <c:v>3493.3312415639998</c:v>
                </c:pt>
              </c:numCache>
            </c:numRef>
          </c:val>
          <c:extLst>
            <c:ext xmlns:c16="http://schemas.microsoft.com/office/drawing/2014/chart" uri="{C3380CC4-5D6E-409C-BE32-E72D297353CC}">
              <c16:uniqueId val="{00000002-72D2-4C8C-8EE7-48CE3E1F1D30}"/>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Sheet1!$D$2:$D$80</c:f>
              <c:numCache>
                <c:formatCode>0.0</c:formatCode>
                <c:ptCount val="20"/>
                <c:pt idx="0">
                  <c:v>915.56433019917631</c:v>
                </c:pt>
                <c:pt idx="1">
                  <c:v>871.24731988103053</c:v>
                </c:pt>
                <c:pt idx="2">
                  <c:v>833.16175229414921</c:v>
                </c:pt>
                <c:pt idx="3">
                  <c:v>824.83726100000001</c:v>
                </c:pt>
                <c:pt idx="4">
                  <c:v>834.40724999999998</c:v>
                </c:pt>
                <c:pt idx="5">
                  <c:v>828.159403</c:v>
                </c:pt>
                <c:pt idx="6">
                  <c:v>837.56598800000006</c:v>
                </c:pt>
                <c:pt idx="7">
                  <c:v>895.46070828430993</c:v>
                </c:pt>
                <c:pt idx="8">
                  <c:v>928.58755423187995</c:v>
                </c:pt>
                <c:pt idx="9">
                  <c:v>962.64040905260003</c:v>
                </c:pt>
                <c:pt idx="10">
                  <c:v>1039.2026646000031</c:v>
                </c:pt>
                <c:pt idx="11">
                  <c:v>1088.676474931993</c:v>
                </c:pt>
                <c:pt idx="12">
                  <c:v>1160.6518448510201</c:v>
                </c:pt>
                <c:pt idx="13">
                  <c:v>1208.4410275667799</c:v>
                </c:pt>
                <c:pt idx="14">
                  <c:v>1286.4818304045698</c:v>
                </c:pt>
                <c:pt idx="15">
                  <c:v>1394.6282937255992</c:v>
                </c:pt>
                <c:pt idx="16">
                  <c:v>1481.2888778763395</c:v>
                </c:pt>
                <c:pt idx="17">
                  <c:v>1577.6867609645908</c:v>
                </c:pt>
                <c:pt idx="18">
                  <c:v>1686.3711567734595</c:v>
                </c:pt>
                <c:pt idx="19">
                  <c:v>1807.520175670071</c:v>
                </c:pt>
              </c:numCache>
            </c:numRef>
          </c:val>
          <c:extLst>
            <c:ext xmlns:c16="http://schemas.microsoft.com/office/drawing/2014/chart" uri="{C3380CC4-5D6E-409C-BE32-E72D297353CC}">
              <c16:uniqueId val="{00000003-72D2-4C8C-8EE7-48CE3E1F1D30}"/>
            </c:ext>
          </c:extLst>
        </c:ser>
        <c:ser>
          <c:idx val="2"/>
          <c:order val="2"/>
          <c:tx>
            <c:strRef>
              <c:f>Sheet1!$E$1</c:f>
              <c:strCache>
                <c:ptCount val="1"/>
                <c:pt idx="0">
                  <c:v>Հիպոթեքային վարկեր</c:v>
                </c:pt>
              </c:strCache>
            </c:strRef>
          </c:tx>
          <c:spPr>
            <a:solidFill>
              <a:schemeClr val="accent3"/>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Sheet1!$E$2:$E$80</c:f>
              <c:numCache>
                <c:formatCode>0.0</c:formatCode>
                <c:ptCount val="20"/>
                <c:pt idx="0">
                  <c:v>517.18580457345661</c:v>
                </c:pt>
                <c:pt idx="1">
                  <c:v>551.45232219393165</c:v>
                </c:pt>
                <c:pt idx="2">
                  <c:v>587.25406379402125</c:v>
                </c:pt>
                <c:pt idx="3">
                  <c:v>654.66754500000002</c:v>
                </c:pt>
                <c:pt idx="4">
                  <c:v>698.01737800000001</c:v>
                </c:pt>
                <c:pt idx="5">
                  <c:v>721.901929</c:v>
                </c:pt>
                <c:pt idx="6">
                  <c:v>780.3971140000001</c:v>
                </c:pt>
                <c:pt idx="7">
                  <c:v>849.39562202326942</c:v>
                </c:pt>
                <c:pt idx="8">
                  <c:v>897.7484755981593</c:v>
                </c:pt>
                <c:pt idx="9">
                  <c:v>958.98347913076861</c:v>
                </c:pt>
                <c:pt idx="10">
                  <c:v>997.16700525499812</c:v>
                </c:pt>
                <c:pt idx="11">
                  <c:v>1070.8564107810053</c:v>
                </c:pt>
                <c:pt idx="12">
                  <c:v>1109.28642831</c:v>
                </c:pt>
                <c:pt idx="13">
                  <c:v>1175.328859767304</c:v>
                </c:pt>
                <c:pt idx="14">
                  <c:v>1271.3692766139</c:v>
                </c:pt>
                <c:pt idx="15">
                  <c:v>1471.2920880285003</c:v>
                </c:pt>
                <c:pt idx="16">
                  <c:v>1497.9559209028898</c:v>
                </c:pt>
                <c:pt idx="17">
                  <c:v>1536.6282225789901</c:v>
                </c:pt>
                <c:pt idx="18">
                  <c:v>1582.3529182146005</c:v>
                </c:pt>
                <c:pt idx="19">
                  <c:v>1665.5454955079899</c:v>
                </c:pt>
              </c:numCache>
            </c:numRef>
          </c:val>
          <c:extLst>
            <c:ext xmlns:c16="http://schemas.microsoft.com/office/drawing/2014/chart" uri="{C3380CC4-5D6E-409C-BE32-E72D297353CC}">
              <c16:uniqueId val="{00000004-72D2-4C8C-8EE7-48CE3E1F1D30}"/>
            </c:ext>
          </c:extLst>
        </c:ser>
        <c:ser>
          <c:idx val="3"/>
          <c:order val="3"/>
          <c:tx>
            <c:strRef>
              <c:f>Sheet1!$F$1</c:f>
              <c:strCache>
                <c:ptCount val="1"/>
                <c:pt idx="0">
                  <c:v>Սպասարկման ոլորտ և այլ վարկեր</c:v>
                </c:pt>
              </c:strCache>
            </c:strRef>
          </c:tx>
          <c:spPr>
            <a:solidFill>
              <a:schemeClr val="accent4"/>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Sheet1!$F$2:$F$80</c:f>
              <c:numCache>
                <c:formatCode>0.0</c:formatCode>
                <c:ptCount val="20"/>
                <c:pt idx="0">
                  <c:v>477.66297262712123</c:v>
                </c:pt>
                <c:pt idx="1">
                  <c:v>434.6472495153028</c:v>
                </c:pt>
                <c:pt idx="2">
                  <c:v>429.08388992184149</c:v>
                </c:pt>
                <c:pt idx="3">
                  <c:v>443.62948399999999</c:v>
                </c:pt>
                <c:pt idx="4">
                  <c:v>438.92346199999997</c:v>
                </c:pt>
                <c:pt idx="5">
                  <c:v>400.65679299999999</c:v>
                </c:pt>
                <c:pt idx="6">
                  <c:v>387.72454200000004</c:v>
                </c:pt>
                <c:pt idx="7">
                  <c:v>405.21387513044152</c:v>
                </c:pt>
                <c:pt idx="8">
                  <c:v>418.34897553184402</c:v>
                </c:pt>
                <c:pt idx="9">
                  <c:v>443.52250804943395</c:v>
                </c:pt>
                <c:pt idx="10">
                  <c:v>470.49682752000001</c:v>
                </c:pt>
                <c:pt idx="11">
                  <c:v>513.69827668400012</c:v>
                </c:pt>
                <c:pt idx="12">
                  <c:v>498.17026908099996</c:v>
                </c:pt>
                <c:pt idx="13">
                  <c:v>520.70121475239989</c:v>
                </c:pt>
                <c:pt idx="14">
                  <c:v>596.82132662229992</c:v>
                </c:pt>
                <c:pt idx="15">
                  <c:v>651.66103490920011</c:v>
                </c:pt>
                <c:pt idx="16">
                  <c:v>718.3762683389001</c:v>
                </c:pt>
                <c:pt idx="17">
                  <c:v>788.8588108560001</c:v>
                </c:pt>
                <c:pt idx="18">
                  <c:v>811.070431246</c:v>
                </c:pt>
                <c:pt idx="19">
                  <c:v>836.81647299900021</c:v>
                </c:pt>
              </c:numCache>
            </c:numRef>
          </c:val>
          <c:extLst>
            <c:ext xmlns:c16="http://schemas.microsoft.com/office/drawing/2014/chart" uri="{C3380CC4-5D6E-409C-BE32-E72D297353CC}">
              <c16:uniqueId val="{00000005-72D2-4C8C-8EE7-48CE3E1F1D30}"/>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Sheet1!$G$2:$G$80</c:f>
              <c:numCache>
                <c:formatCode>0.0</c:formatCode>
                <c:ptCount val="20"/>
                <c:pt idx="0">
                  <c:v>49.360514110896666</c:v>
                </c:pt>
                <c:pt idx="1">
                  <c:v>46.436641172828367</c:v>
                </c:pt>
                <c:pt idx="2">
                  <c:v>45.230440273230847</c:v>
                </c:pt>
                <c:pt idx="3">
                  <c:v>43.773631182802802</c:v>
                </c:pt>
                <c:pt idx="4">
                  <c:v>44.228337680079136</c:v>
                </c:pt>
                <c:pt idx="5">
                  <c:v>38.958793125140616</c:v>
                </c:pt>
                <c:pt idx="6">
                  <c:v>36.988487672147144</c:v>
                </c:pt>
                <c:pt idx="7">
                  <c:v>35.590459031217357</c:v>
                </c:pt>
                <c:pt idx="8">
                  <c:v>35.416563649843262</c:v>
                </c:pt>
                <c:pt idx="9">
                  <c:v>34.174308617877578</c:v>
                </c:pt>
                <c:pt idx="10">
                  <c:v>34.219620758329327</c:v>
                </c:pt>
                <c:pt idx="11">
                  <c:v>34.219620758329327</c:v>
                </c:pt>
                <c:pt idx="12">
                  <c:v>32.579081205192594</c:v>
                </c:pt>
                <c:pt idx="13">
                  <c:v>31.94218177826264</c:v>
                </c:pt>
                <c:pt idx="14">
                  <c:v>32.241036612425084</c:v>
                </c:pt>
                <c:pt idx="15">
                  <c:v>31.565361400000004</c:v>
                </c:pt>
                <c:pt idx="16">
                  <c:v>31.529695382646551</c:v>
                </c:pt>
                <c:pt idx="17">
                  <c:v>32.159270628343009</c:v>
                </c:pt>
                <c:pt idx="18">
                  <c:v>32.31583596014778</c:v>
                </c:pt>
                <c:pt idx="19">
                  <c:v>32.416978030623774</c:v>
                </c:pt>
              </c:numCache>
            </c:numRef>
          </c:val>
          <c:smooth val="0"/>
          <c:extLst>
            <c:ext xmlns:c16="http://schemas.microsoft.com/office/drawing/2014/chart" uri="{C3380CC4-5D6E-409C-BE32-E72D297353CC}">
              <c16:uniqueId val="{00000006-72D2-4C8C-8EE7-48CE3E1F1D30}"/>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456995110414536"/>
          <c:w val="0.98481843975110583"/>
          <c:h val="0.254300488958546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D9E3-4FAB-BB52-BD8A944557C6}"/>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D9E3-4FAB-BB52-BD8A944557C6}"/>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D9E3-4FAB-BB52-BD8A944557C6}"/>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D9E3-4FAB-BB52-BD8A944557C6}"/>
            </c:ext>
          </c:extLst>
        </c:ser>
        <c:dLbls>
          <c:showLegendKey val="0"/>
          <c:showVal val="0"/>
          <c:showCatName val="0"/>
          <c:showSerName val="0"/>
          <c:showPercent val="0"/>
          <c:showBubbleSize val="0"/>
        </c:dLbls>
        <c:smooth val="0"/>
        <c:axId val="1913056624"/>
        <c:axId val="1913053360"/>
      </c:lineChart>
      <c:catAx>
        <c:axId val="1913056624"/>
        <c:scaling>
          <c:orientation val="minMax"/>
        </c:scaling>
        <c:delete val="1"/>
        <c:axPos val="b"/>
        <c:numFmt formatCode="General" sourceLinked="1"/>
        <c:majorTickMark val="none"/>
        <c:minorTickMark val="none"/>
        <c:tickLblPos val="low"/>
        <c:crossAx val="1913053360"/>
        <c:crosses val="autoZero"/>
        <c:auto val="1"/>
        <c:lblAlgn val="ctr"/>
        <c:lblOffset val="100"/>
        <c:noMultiLvlLbl val="0"/>
      </c:catAx>
      <c:valAx>
        <c:axId val="1913053360"/>
        <c:scaling>
          <c:orientation val="minMax"/>
          <c:max val="21"/>
        </c:scaling>
        <c:delete val="1"/>
        <c:axPos val="l"/>
        <c:numFmt formatCode="General" sourceLinked="1"/>
        <c:majorTickMark val="none"/>
        <c:minorTickMark val="none"/>
        <c:tickLblPos val="nextTo"/>
        <c:crossAx val="1913056624"/>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Բանկերի ավանդային պորտֆելը, մլրդ ՀՀ դրամ</a:t>
            </a:r>
            <a:endParaRPr lang="en-US" sz="1000" baseline="0">
              <a:solidFill>
                <a:schemeClr val="tx1">
                  <a:lumMod val="65000"/>
                  <a:lumOff val="35000"/>
                </a:schemeClr>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3750659296312633"/>
        </c:manualLayout>
      </c:layou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Sheet1!$C$2:$C$80</c:f>
              <c:numCache>
                <c:formatCode>0.0</c:formatCode>
                <c:ptCount val="20"/>
                <c:pt idx="0">
                  <c:v>2793.6608505633803</c:v>
                </c:pt>
                <c:pt idx="1">
                  <c:v>2836.3239767365799</c:v>
                </c:pt>
                <c:pt idx="2">
                  <c:v>2969.7320835893697</c:v>
                </c:pt>
                <c:pt idx="3">
                  <c:v>3144.9699810905099</c:v>
                </c:pt>
                <c:pt idx="4">
                  <c:v>3157.9293703593098</c:v>
                </c:pt>
                <c:pt idx="5">
                  <c:v>3127.58012159178</c:v>
                </c:pt>
                <c:pt idx="6">
                  <c:v>3359.6420501932998</c:v>
                </c:pt>
                <c:pt idx="7">
                  <c:v>3694.09499741116</c:v>
                </c:pt>
                <c:pt idx="8">
                  <c:v>3815.1625054040496</c:v>
                </c:pt>
                <c:pt idx="9">
                  <c:v>3876.1891963166695</c:v>
                </c:pt>
                <c:pt idx="10">
                  <c:v>4094.7344285735303</c:v>
                </c:pt>
                <c:pt idx="11">
                  <c:v>4320.2793153550701</c:v>
                </c:pt>
                <c:pt idx="12">
                  <c:v>4271.2043916183702</c:v>
                </c:pt>
                <c:pt idx="13">
                  <c:v>4420.1968430000006</c:v>
                </c:pt>
                <c:pt idx="14">
                  <c:v>4598.2749547844905</c:v>
                </c:pt>
                <c:pt idx="15">
                  <c:v>4970.471082</c:v>
                </c:pt>
                <c:pt idx="16">
                  <c:v>4984.221082</c:v>
                </c:pt>
                <c:pt idx="17">
                  <c:v>5158.5768586089989</c:v>
                </c:pt>
                <c:pt idx="18">
                  <c:v>5356.4512066399993</c:v>
                </c:pt>
                <c:pt idx="19">
                  <c:v>5875.9329934400002</c:v>
                </c:pt>
              </c:numCache>
            </c:numRef>
          </c:val>
          <c:extLst>
            <c:ext xmlns:c16="http://schemas.microsoft.com/office/drawing/2014/chart" uri="{C3380CC4-5D6E-409C-BE32-E72D297353CC}">
              <c16:uniqueId val="{00000000-5CAE-4C45-B61E-E98028E37349}"/>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Sheet1!$D$2:$D$80</c:f>
              <c:numCache>
                <c:formatCode>0.0</c:formatCode>
                <c:ptCount val="20"/>
                <c:pt idx="0">
                  <c:v>908.42658679641988</c:v>
                </c:pt>
                <c:pt idx="1">
                  <c:v>933.42867996081998</c:v>
                </c:pt>
                <c:pt idx="2">
                  <c:v>884.54700956330009</c:v>
                </c:pt>
                <c:pt idx="3">
                  <c:v>879.64579740889997</c:v>
                </c:pt>
                <c:pt idx="4">
                  <c:v>825.37567642600982</c:v>
                </c:pt>
                <c:pt idx="5">
                  <c:v>944.66289364885984</c:v>
                </c:pt>
                <c:pt idx="6">
                  <c:v>1121.91741065579</c:v>
                </c:pt>
                <c:pt idx="7">
                  <c:v>1428.48444855512</c:v>
                </c:pt>
                <c:pt idx="8">
                  <c:v>1276.6676620578501</c:v>
                </c:pt>
                <c:pt idx="9">
                  <c:v>1307.3610793673802</c:v>
                </c:pt>
                <c:pt idx="10">
                  <c:v>1286.03932946751</c:v>
                </c:pt>
                <c:pt idx="11">
                  <c:v>1356.88661356395</c:v>
                </c:pt>
                <c:pt idx="12">
                  <c:v>1436.6219000351498</c:v>
                </c:pt>
                <c:pt idx="13">
                  <c:v>1378.2836000000002</c:v>
                </c:pt>
                <c:pt idx="14">
                  <c:v>1361.9181585231499</c:v>
                </c:pt>
                <c:pt idx="15">
                  <c:v>1493.487216</c:v>
                </c:pt>
                <c:pt idx="16">
                  <c:v>1515.5757760000001</c:v>
                </c:pt>
                <c:pt idx="17">
                  <c:v>1534.745934347</c:v>
                </c:pt>
                <c:pt idx="18">
                  <c:v>1563.5263797389998</c:v>
                </c:pt>
                <c:pt idx="19">
                  <c:v>1581.8578270279997</c:v>
                </c:pt>
              </c:numCache>
            </c:numRef>
          </c:val>
          <c:extLst>
            <c:ext xmlns:c16="http://schemas.microsoft.com/office/drawing/2014/chart" uri="{C3380CC4-5D6E-409C-BE32-E72D297353CC}">
              <c16:uniqueId val="{00000001-5CAE-4C45-B61E-E98028E37349}"/>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Sheet1!$E$2:$E$80</c:f>
              <c:numCache>
                <c:formatCode>0.0</c:formatCode>
                <c:ptCount val="20"/>
                <c:pt idx="0">
                  <c:v>53.22193901071163</c:v>
                </c:pt>
                <c:pt idx="1">
                  <c:v>52.148366016875549</c:v>
                </c:pt>
                <c:pt idx="2">
                  <c:v>51.044929965929676</c:v>
                </c:pt>
                <c:pt idx="3">
                  <c:v>50.002711393128706</c:v>
                </c:pt>
                <c:pt idx="4">
                  <c:v>50.387948204205976</c:v>
                </c:pt>
                <c:pt idx="5">
                  <c:v>50.383284880867492</c:v>
                </c:pt>
                <c:pt idx="6">
                  <c:v>53.173295648147914</c:v>
                </c:pt>
                <c:pt idx="7">
                  <c:v>55.144855057658283</c:v>
                </c:pt>
                <c:pt idx="8">
                  <c:v>53.570558762946419</c:v>
                </c:pt>
                <c:pt idx="9">
                  <c:v>51.683860715465279</c:v>
                </c:pt>
                <c:pt idx="10">
                  <c:v>51.092059603808224</c:v>
                </c:pt>
                <c:pt idx="11">
                  <c:v>50.503680746709556</c:v>
                </c:pt>
                <c:pt idx="12">
                  <c:v>50.649702322225679</c:v>
                </c:pt>
                <c:pt idx="13">
                  <c:v>49.819260707990281</c:v>
                </c:pt>
                <c:pt idx="14">
                  <c:v>48.380065777790406</c:v>
                </c:pt>
                <c:pt idx="15">
                  <c:v>46.633565828119139</c:v>
                </c:pt>
                <c:pt idx="16">
                  <c:v>47.500428343386851</c:v>
                </c:pt>
                <c:pt idx="17">
                  <c:v>46.301474881855029</c:v>
                </c:pt>
                <c:pt idx="18">
                  <c:v>45.187627849228981</c:v>
                </c:pt>
                <c:pt idx="19">
                  <c:v>43.941566228849432</c:v>
                </c:pt>
              </c:numCache>
            </c:numRef>
          </c:val>
          <c:smooth val="0"/>
          <c:extLst>
            <c:ext xmlns:c16="http://schemas.microsoft.com/office/drawing/2014/chart" uri="{C3380CC4-5D6E-409C-BE32-E72D297353CC}">
              <c16:uniqueId val="{00000002-5CAE-4C45-B61E-E98028E37349}"/>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70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52201545171415"/>
          <c:y val="0.14718253968253969"/>
          <c:w val="0.76804371915290282"/>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numRef>
              <c:f>Sheet1!$A$4:$A$13</c:f>
              <c:numCache>
                <c:formatCode>General</c:formatCode>
                <c:ptCount val="5"/>
                <c:pt idx="0">
                  <c:v>2021</c:v>
                </c:pt>
                <c:pt idx="1">
                  <c:v>2022</c:v>
                </c:pt>
                <c:pt idx="2">
                  <c:v>2023</c:v>
                </c:pt>
                <c:pt idx="3">
                  <c:v>2024</c:v>
                </c:pt>
                <c:pt idx="4">
                  <c:v>2025</c:v>
                </c:pt>
              </c:numCache>
            </c:numRef>
          </c:cat>
          <c:val>
            <c:numRef>
              <c:f>Sheet1!$B$2:$B$7</c:f>
            </c:numRef>
          </c:val>
          <c:extLst>
            <c:ext xmlns:c16="http://schemas.microsoft.com/office/drawing/2014/chart" uri="{C3380CC4-5D6E-409C-BE32-E72D297353CC}">
              <c16:uniqueId val="{00000000-C9D1-497B-8CC0-7D87396C3382}"/>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numRef>
              <c:f>Sheet1!$A$4:$A$13</c:f>
              <c:numCache>
                <c:formatCode>General</c:formatCode>
                <c:ptCount val="5"/>
                <c:pt idx="0">
                  <c:v>2021</c:v>
                </c:pt>
                <c:pt idx="1">
                  <c:v>2022</c:v>
                </c:pt>
                <c:pt idx="2">
                  <c:v>2023</c:v>
                </c:pt>
                <c:pt idx="3">
                  <c:v>2024</c:v>
                </c:pt>
                <c:pt idx="4">
                  <c:v>2025</c:v>
                </c:pt>
              </c:numCache>
            </c:numRef>
          </c:cat>
          <c:val>
            <c:numRef>
              <c:f>Sheet1!$C$2:$C$13</c:f>
              <c:numCache>
                <c:formatCode>0.0</c:formatCode>
                <c:ptCount val="5"/>
                <c:pt idx="0">
                  <c:v>394.31375400000002</c:v>
                </c:pt>
                <c:pt idx="1">
                  <c:v>435.92769399999997</c:v>
                </c:pt>
                <c:pt idx="2">
                  <c:v>619.84177499999998</c:v>
                </c:pt>
                <c:pt idx="3">
                  <c:v>656.33290999999997</c:v>
                </c:pt>
                <c:pt idx="4">
                  <c:v>691.33074999999997</c:v>
                </c:pt>
              </c:numCache>
            </c:numRef>
          </c:val>
          <c:extLst>
            <c:ext xmlns:c16="http://schemas.microsoft.com/office/drawing/2014/chart" uri="{C3380CC4-5D6E-409C-BE32-E72D297353CC}">
              <c16:uniqueId val="{00000001-C9D1-497B-8CC0-7D87396C3382}"/>
            </c:ext>
          </c:extLst>
        </c:ser>
        <c:ser>
          <c:idx val="2"/>
          <c:order val="2"/>
          <c:tx>
            <c:strRef>
              <c:f>Sheet1!$D$1</c:f>
              <c:strCache>
                <c:ptCount val="1"/>
                <c:pt idx="0">
                  <c:v>Պահանջարկ</c:v>
                </c:pt>
              </c:strCache>
            </c:strRef>
          </c:tx>
          <c:spPr>
            <a:solidFill>
              <a:srgbClr val="4F81BD">
                <a:lumMod val="40000"/>
                <a:lumOff val="60000"/>
              </a:srgbClr>
            </a:solidFill>
            <a:ln>
              <a:noFill/>
            </a:ln>
            <a:effectLst/>
          </c:spPr>
          <c:invertIfNegative val="0"/>
          <c:cat>
            <c:numRef>
              <c:f>Sheet1!$A$4:$A$13</c:f>
              <c:numCache>
                <c:formatCode>General</c:formatCode>
                <c:ptCount val="5"/>
                <c:pt idx="0">
                  <c:v>2021</c:v>
                </c:pt>
                <c:pt idx="1">
                  <c:v>2022</c:v>
                </c:pt>
                <c:pt idx="2">
                  <c:v>2023</c:v>
                </c:pt>
                <c:pt idx="3">
                  <c:v>2024</c:v>
                </c:pt>
                <c:pt idx="4">
                  <c:v>2025</c:v>
                </c:pt>
              </c:numCache>
            </c:numRef>
          </c:cat>
          <c:val>
            <c:numRef>
              <c:f>Sheet1!$D$2:$D$13</c:f>
              <c:numCache>
                <c:formatCode>0.0</c:formatCode>
                <c:ptCount val="5"/>
                <c:pt idx="0">
                  <c:v>751.11215400000003</c:v>
                </c:pt>
                <c:pt idx="1">
                  <c:v>882.73538799999994</c:v>
                </c:pt>
                <c:pt idx="2">
                  <c:v>1302.8866459999999</c:v>
                </c:pt>
                <c:pt idx="3">
                  <c:v>1145.4772760000001</c:v>
                </c:pt>
                <c:pt idx="4">
                  <c:v>1507.7134289999999</c:v>
                </c:pt>
              </c:numCache>
            </c:numRef>
          </c:val>
          <c:extLst>
            <c:ext xmlns:c16="http://schemas.microsoft.com/office/drawing/2014/chart" uri="{C3380CC4-5D6E-409C-BE32-E72D297353CC}">
              <c16:uniqueId val="{00000002-C9D1-497B-8CC0-7D87396C3382}"/>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dLbls>
            <c:dLbl>
              <c:idx val="0"/>
              <c:layout>
                <c:manualLayout>
                  <c:x val="-3.6086607858861267E-2"/>
                  <c:y val="-4.76758045292014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D1-497B-8CC0-7D87396C3382}"/>
                </c:ext>
              </c:extLst>
            </c:dLbl>
            <c:dLbl>
              <c:idx val="1"/>
              <c:layout>
                <c:manualLayout>
                  <c:x val="-4.8115477145148355E-2"/>
                  <c:y val="-3.81406436233611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D1-497B-8CC0-7D87396C338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5"/>
                <c:pt idx="0">
                  <c:v>2021</c:v>
                </c:pt>
                <c:pt idx="1">
                  <c:v>2022</c:v>
                </c:pt>
                <c:pt idx="2">
                  <c:v>2023</c:v>
                </c:pt>
                <c:pt idx="3">
                  <c:v>2024</c:v>
                </c:pt>
                <c:pt idx="4">
                  <c:v>2025</c:v>
                </c:pt>
              </c:numCache>
            </c:numRef>
          </c:cat>
          <c:val>
            <c:numRef>
              <c:f>Sheet1!$E$2:$E$13</c:f>
              <c:numCache>
                <c:formatCode>0.0</c:formatCode>
                <c:ptCount val="5"/>
                <c:pt idx="0">
                  <c:v>1.9048591290072017</c:v>
                </c:pt>
                <c:pt idx="1">
                  <c:v>2.0249582675057116</c:v>
                </c:pt>
                <c:pt idx="2">
                  <c:v>2.1019664994344724</c:v>
                </c:pt>
                <c:pt idx="3">
                  <c:v>1.7452686868924494</c:v>
                </c:pt>
                <c:pt idx="4">
                  <c:v>2.180885819124927</c:v>
                </c:pt>
              </c:numCache>
            </c:numRef>
          </c:val>
          <c:smooth val="0"/>
          <c:extLst>
            <c:ext xmlns:c16="http://schemas.microsoft.com/office/drawing/2014/chart" uri="{C3380CC4-5D6E-409C-BE32-E72D297353CC}">
              <c16:uniqueId val="{00000005-C9D1-497B-8CC0-7D87396C3382}"/>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51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1"/>
          <c:h val="0.191995688038995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a:t>
            </a:r>
            <a:r>
              <a:rPr lang="hy-AM" sz="1000" baseline="0">
                <a:solidFill>
                  <a:schemeClr val="tx1">
                    <a:lumMod val="65000"/>
                    <a:lumOff val="35000"/>
                  </a:schemeClr>
                </a:solidFill>
              </a:rPr>
              <a:t>մտաբերություննե</a:t>
            </a:r>
            <a:r>
              <a:rPr lang="hy-AM" sz="1000"/>
              <a:t>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Sheet1!$B$2:$B$43</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Sheet1!$F$2:$F$43</c:f>
            </c:numRef>
          </c:val>
          <c:extLst>
            <c:ext xmlns:c16="http://schemas.microsoft.com/office/drawing/2014/chart" uri="{C3380CC4-5D6E-409C-BE32-E72D297353CC}">
              <c16:uniqueId val="{00000000-4F6D-4F4D-B4CB-301202656A3A}"/>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Sheet1!$A$14:$B$41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Sheet1!$C$2:$C$41</c:f>
              <c:numCache>
                <c:formatCode>0.0</c:formatCode>
                <c:ptCount val="20"/>
                <c:pt idx="0">
                  <c:v>6.854926799557032</c:v>
                </c:pt>
                <c:pt idx="1">
                  <c:v>7.1024616710317856</c:v>
                </c:pt>
                <c:pt idx="2">
                  <c:v>8.1943352976190482</c:v>
                </c:pt>
                <c:pt idx="3">
                  <c:v>8.8495017574280173</c:v>
                </c:pt>
                <c:pt idx="4">
                  <c:v>9.3270733333333329</c:v>
                </c:pt>
                <c:pt idx="5">
                  <c:v>10.475233333333334</c:v>
                </c:pt>
                <c:pt idx="6">
                  <c:v>10.657266666666667</c:v>
                </c:pt>
                <c:pt idx="7">
                  <c:v>11.512319015843817</c:v>
                </c:pt>
                <c:pt idx="8">
                  <c:v>11.5479466989476</c:v>
                </c:pt>
                <c:pt idx="9">
                  <c:v>11.433027414054733</c:v>
                </c:pt>
                <c:pt idx="10">
                  <c:v>10.608063631255433</c:v>
                </c:pt>
                <c:pt idx="11">
                  <c:v>10.551300357902667</c:v>
                </c:pt>
                <c:pt idx="12">
                  <c:v>10.054928727912321</c:v>
                </c:pt>
                <c:pt idx="13">
                  <c:v>9.2783893392325592</c:v>
                </c:pt>
                <c:pt idx="14">
                  <c:v>8.9352686709551588</c:v>
                </c:pt>
                <c:pt idx="15">
                  <c:v>8.810314387740922</c:v>
                </c:pt>
                <c:pt idx="16">
                  <c:v>8.3760583702631379</c:v>
                </c:pt>
                <c:pt idx="17">
                  <c:v>8.0703152723108733</c:v>
                </c:pt>
                <c:pt idx="18">
                  <c:v>7.9941702365564531</c:v>
                </c:pt>
                <c:pt idx="19">
                  <c:v>7.6685029292008906</c:v>
                </c:pt>
              </c:numCache>
            </c:numRef>
          </c:val>
          <c:smooth val="0"/>
          <c:extLst>
            <c:ext xmlns:c16="http://schemas.microsoft.com/office/drawing/2014/chart" uri="{C3380CC4-5D6E-409C-BE32-E72D297353CC}">
              <c16:uniqueId val="{00000001-4F6D-4F4D-B4CB-301202656A3A}"/>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Sheet1!$A$14:$B$41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Sheet1!$D$2:$D$41</c:f>
              <c:numCache>
                <c:formatCode>0.0</c:formatCode>
                <c:ptCount val="20"/>
                <c:pt idx="0">
                  <c:v>8.0319500000000001</c:v>
                </c:pt>
                <c:pt idx="1">
                  <c:v>8.543099999999999</c:v>
                </c:pt>
                <c:pt idx="2">
                  <c:v>9.4789999999999992</c:v>
                </c:pt>
                <c:pt idx="3">
                  <c:v>9.7094333333333314</c:v>
                </c:pt>
                <c:pt idx="4">
                  <c:v>10.17895</c:v>
                </c:pt>
                <c:pt idx="5">
                  <c:v>11.088666666666667</c:v>
                </c:pt>
                <c:pt idx="6">
                  <c:v>11.286049999999999</c:v>
                </c:pt>
                <c:pt idx="7">
                  <c:v>11.808</c:v>
                </c:pt>
                <c:pt idx="8">
                  <c:v>11.9323200507901</c:v>
                </c:pt>
                <c:pt idx="9">
                  <c:v>11.442941876642301</c:v>
                </c:pt>
                <c:pt idx="10">
                  <c:v>10.649850000000001</c:v>
                </c:pt>
                <c:pt idx="11">
                  <c:v>10.843333333333334</c:v>
                </c:pt>
                <c:pt idx="12">
                  <c:v>10.05335</c:v>
                </c:pt>
                <c:pt idx="13">
                  <c:v>9.8924745850916072</c:v>
                </c:pt>
                <c:pt idx="14">
                  <c:v>9.9087500000000013</c:v>
                </c:pt>
                <c:pt idx="15">
                  <c:v>9.8606216891299212</c:v>
                </c:pt>
                <c:pt idx="16">
                  <c:v>9.6217000000000006</c:v>
                </c:pt>
                <c:pt idx="17">
                  <c:v>9.5736297103588139</c:v>
                </c:pt>
                <c:pt idx="18">
                  <c:v>9.46645</c:v>
                </c:pt>
                <c:pt idx="19">
                  <c:v>8.2749999999999986</c:v>
                </c:pt>
              </c:numCache>
            </c:numRef>
          </c:val>
          <c:smooth val="0"/>
          <c:extLst>
            <c:ext xmlns:c16="http://schemas.microsoft.com/office/drawing/2014/chart" uri="{C3380CC4-5D6E-409C-BE32-E72D297353CC}">
              <c16:uniqueId val="{00000002-4F6D-4F4D-B4CB-301202656A3A}"/>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Sheet1!$A$14:$B$41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Sheet1!$E$2:$E$41</c:f>
              <c:numCache>
                <c:formatCode>0.0</c:formatCode>
                <c:ptCount val="20"/>
                <c:pt idx="0">
                  <c:v>9.681431525610396</c:v>
                </c:pt>
                <c:pt idx="1">
                  <c:v>9.8704542865300873</c:v>
                </c:pt>
                <c:pt idx="2">
                  <c:v>9.9131</c:v>
                </c:pt>
                <c:pt idx="3">
                  <c:v>10.289874523669795</c:v>
                </c:pt>
                <c:pt idx="4">
                  <c:v>10.6031</c:v>
                </c:pt>
                <c:pt idx="5">
                  <c:v>11.6937</c:v>
                </c:pt>
                <c:pt idx="6">
                  <c:v>11.8903</c:v>
                </c:pt>
                <c:pt idx="8">
                  <c:v>11.9801</c:v>
                </c:pt>
                <c:pt idx="9">
                  <c:v>11.785450025631398</c:v>
                </c:pt>
                <c:pt idx="10">
                  <c:v>11.116300000000001</c:v>
                </c:pt>
                <c:pt idx="11">
                  <c:v>10.227523897900451</c:v>
                </c:pt>
                <c:pt idx="12">
                  <c:v>10.952400000000001</c:v>
                </c:pt>
                <c:pt idx="13">
                  <c:v>9.8869461294130492</c:v>
                </c:pt>
                <c:pt idx="14">
                  <c:v>9.9582999999999995</c:v>
                </c:pt>
                <c:pt idx="15">
                  <c:v>9.9590764933582605</c:v>
                </c:pt>
                <c:pt idx="16">
                  <c:v>9.9671000000000003</c:v>
                </c:pt>
                <c:pt idx="17">
                  <c:v>9.8579000000000008</c:v>
                </c:pt>
                <c:pt idx="18">
                  <c:v>9.9328000000000003</c:v>
                </c:pt>
                <c:pt idx="19">
                  <c:v>9.3391999999999999</c:v>
                </c:pt>
              </c:numCache>
            </c:numRef>
          </c:val>
          <c:smooth val="0"/>
          <c:extLst>
            <c:ext xmlns:c16="http://schemas.microsoft.com/office/drawing/2014/chart" uri="{C3380CC4-5D6E-409C-BE32-E72D297353CC}">
              <c16:uniqueId val="{00000003-4F6D-4F4D-B4CB-301202656A3A}"/>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Եկամտաբերություններ, </a:t>
            </a:r>
            <a:r>
              <a:rPr lang="en-US" sz="1000" baseline="0">
                <a:solidFill>
                  <a:schemeClr val="tx1">
                    <a:lumMod val="65000"/>
                    <a:lumOff val="35000"/>
                  </a:schemeClr>
                </a:solidFill>
              </a:rPr>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1"/>
          <c:order val="1"/>
          <c:tx>
            <c:strRef>
              <c:f>Sheet1!$D$1</c:f>
              <c:strCache>
                <c:ptCount val="1"/>
                <c:pt idx="0">
                  <c:v>2025թ. մարվող պարտատոմսեր</c:v>
                </c:pt>
              </c:strCache>
            </c:strRef>
          </c:tx>
          <c:spPr>
            <a:ln w="28575" cap="rnd">
              <a:solidFill>
                <a:srgbClr val="F79646">
                  <a:lumMod val="60000"/>
                  <a:lumOff val="40000"/>
                </a:srgb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Sheet1!$D$16:$D$76</c:f>
            </c:numRef>
          </c:val>
          <c:smooth val="0"/>
          <c:extLst>
            <c:ext xmlns:c16="http://schemas.microsoft.com/office/drawing/2014/chart" uri="{C3380CC4-5D6E-409C-BE32-E72D297353CC}">
              <c16:uniqueId val="{00000000-AC6E-42AD-89B5-8B2DE922AF8D}"/>
            </c:ext>
          </c:extLst>
        </c:ser>
        <c:ser>
          <c:idx val="2"/>
          <c:order val="2"/>
          <c:tx>
            <c:strRef>
              <c:f>Sheet1!$E$1</c:f>
              <c:strCache>
                <c:ptCount val="1"/>
                <c:pt idx="0">
                  <c:v>2029թ. մարվող պարտատոմսեր</c:v>
                </c:pt>
              </c:strCache>
            </c:strRef>
          </c:tx>
          <c:spPr>
            <a:ln w="28575" cap="rnd">
              <a:solidFill>
                <a:srgbClr val="F79646"/>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Sheet1!$E$16:$E$99</c:f>
              <c:numCache>
                <c:formatCode>0.0</c:formatCode>
                <c:ptCount val="60"/>
                <c:pt idx="0">
                  <c:v>3.6723000000000008</c:v>
                </c:pt>
                <c:pt idx="1">
                  <c:v>3.9475000000000002</c:v>
                </c:pt>
                <c:pt idx="2">
                  <c:v>4.4904782608695655</c:v>
                </c:pt>
                <c:pt idx="3">
                  <c:v>4.5511428571428558</c:v>
                </c:pt>
                <c:pt idx="4">
                  <c:v>4.3338421052631571</c:v>
                </c:pt>
                <c:pt idx="5">
                  <c:v>4.2633181818181818</c:v>
                </c:pt>
                <c:pt idx="6">
                  <c:v>4.0212608695652179</c:v>
                </c:pt>
                <c:pt idx="7">
                  <c:v>4.0686666666666653</c:v>
                </c:pt>
                <c:pt idx="8">
                  <c:v>4.0162272727272734</c:v>
                </c:pt>
                <c:pt idx="9">
                  <c:v>4.2865238095238096</c:v>
                </c:pt>
                <c:pt idx="10">
                  <c:v>4.3536363636363635</c:v>
                </c:pt>
                <c:pt idx="11">
                  <c:v>4.3866190476190461</c:v>
                </c:pt>
                <c:pt idx="12">
                  <c:v>4.5868000000000011</c:v>
                </c:pt>
                <c:pt idx="13">
                  <c:v>5.0386000000000006</c:v>
                </c:pt>
                <c:pt idx="14">
                  <c:v>6.8682173913043476</c:v>
                </c:pt>
                <c:pt idx="15">
                  <c:v>6.8751052631578951</c:v>
                </c:pt>
                <c:pt idx="16">
                  <c:v>7.5783333333333323</c:v>
                </c:pt>
                <c:pt idx="17">
                  <c:v>8.2034500000000001</c:v>
                </c:pt>
                <c:pt idx="18">
                  <c:v>8.9845714285714298</c:v>
                </c:pt>
                <c:pt idx="19">
                  <c:v>8.4867727272727294</c:v>
                </c:pt>
                <c:pt idx="20">
                  <c:v>8.7993333333333332</c:v>
                </c:pt>
                <c:pt idx="21">
                  <c:v>9.5608571428571434</c:v>
                </c:pt>
                <c:pt idx="22">
                  <c:v>8.4271818181818166</c:v>
                </c:pt>
                <c:pt idx="23">
                  <c:v>7.0691499999999987</c:v>
                </c:pt>
                <c:pt idx="24">
                  <c:v>7.0100000000000007</c:v>
                </c:pt>
                <c:pt idx="25">
                  <c:v>7.1820000000000004</c:v>
                </c:pt>
                <c:pt idx="26">
                  <c:v>7.5711739130434799</c:v>
                </c:pt>
                <c:pt idx="27">
                  <c:v>7.3866842105263144</c:v>
                </c:pt>
                <c:pt idx="28">
                  <c:v>7.3594347826086963</c:v>
                </c:pt>
                <c:pt idx="29">
                  <c:v>7.3986818181818172</c:v>
                </c:pt>
                <c:pt idx="30">
                  <c:v>7.36842857142857</c:v>
                </c:pt>
                <c:pt idx="31">
                  <c:v>7.3065217391304351</c:v>
                </c:pt>
                <c:pt idx="32">
                  <c:v>7.6681428571428558</c:v>
                </c:pt>
                <c:pt idx="33">
                  <c:v>8.2754545454545436</c:v>
                </c:pt>
                <c:pt idx="34">
                  <c:v>7.7027272727272722</c:v>
                </c:pt>
                <c:pt idx="35">
                  <c:v>6.9752631578947373</c:v>
                </c:pt>
                <c:pt idx="36">
                  <c:v>6.9060869565217393</c:v>
                </c:pt>
                <c:pt idx="37">
                  <c:v>7.0069090909090912</c:v>
                </c:pt>
                <c:pt idx="38">
                  <c:v>6.9148571428571435</c:v>
                </c:pt>
                <c:pt idx="39">
                  <c:v>7.1904545454545454</c:v>
                </c:pt>
                <c:pt idx="40">
                  <c:v>7.0528636363636368</c:v>
                </c:pt>
                <c:pt idx="41">
                  <c:v>6.9695499999999999</c:v>
                </c:pt>
                <c:pt idx="42">
                  <c:v>6.9626956521739141</c:v>
                </c:pt>
                <c:pt idx="43">
                  <c:v>6.7690909090909086</c:v>
                </c:pt>
                <c:pt idx="44">
                  <c:v>6.4598499999999985</c:v>
                </c:pt>
                <c:pt idx="45">
                  <c:v>6.5327826086956531</c:v>
                </c:pt>
                <c:pt idx="46">
                  <c:v>6.7858571428571439</c:v>
                </c:pt>
                <c:pt idx="47">
                  <c:v>6.8893636363636368</c:v>
                </c:pt>
                <c:pt idx="48">
                  <c:v>7.0849999999999982</c:v>
                </c:pt>
                <c:pt idx="49">
                  <c:v>6.7887500000000003</c:v>
                </c:pt>
                <c:pt idx="50">
                  <c:v>6.6028571428571423</c:v>
                </c:pt>
                <c:pt idx="51">
                  <c:v>6.7044545454545466</c:v>
                </c:pt>
                <c:pt idx="52">
                  <c:v>6.624272727272726</c:v>
                </c:pt>
                <c:pt idx="53">
                  <c:v>6.1956842105263163</c:v>
                </c:pt>
                <c:pt idx="54">
                  <c:v>6.121130434782609</c:v>
                </c:pt>
                <c:pt idx="55">
                  <c:v>5.8348571428571425</c:v>
                </c:pt>
                <c:pt idx="56">
                  <c:v>5.6306363636363628</c:v>
                </c:pt>
                <c:pt idx="57">
                  <c:v>5.4922608695652171</c:v>
                </c:pt>
                <c:pt idx="58">
                  <c:v>5.3542999999999994</c:v>
                </c:pt>
                <c:pt idx="59">
                  <c:v>5.3466521739130437</c:v>
                </c:pt>
              </c:numCache>
            </c:numRef>
          </c:val>
          <c:smooth val="0"/>
          <c:extLst>
            <c:ext xmlns:c16="http://schemas.microsoft.com/office/drawing/2014/chart" uri="{C3380CC4-5D6E-409C-BE32-E72D297353CC}">
              <c16:uniqueId val="{00000001-AC6E-42AD-89B5-8B2DE922AF8D}"/>
            </c:ext>
          </c:extLst>
        </c:ser>
        <c:ser>
          <c:idx val="3"/>
          <c:order val="3"/>
          <c:tx>
            <c:strRef>
              <c:f>Sheet1!$F$1</c:f>
              <c:strCache>
                <c:ptCount val="1"/>
                <c:pt idx="0">
                  <c:v>2031թ. մարվող պարտատոմսեր</c:v>
                </c:pt>
              </c:strCache>
            </c:strRef>
          </c:tx>
          <c:spPr>
            <a:ln w="28575" cap="rnd">
              <a:solidFill>
                <a:sysClr val="windowText" lastClr="000000">
                  <a:lumMod val="50000"/>
                  <a:lumOff val="50000"/>
                </a:sys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Sheet1!$F$16:$F$99</c:f>
              <c:numCache>
                <c:formatCode>0.0</c:formatCode>
                <c:ptCount val="60"/>
                <c:pt idx="1">
                  <c:v>4.1216999999999988</c:v>
                </c:pt>
                <c:pt idx="2">
                  <c:v>4.5403043478260861</c:v>
                </c:pt>
                <c:pt idx="3">
                  <c:v>4.5836500000000004</c:v>
                </c:pt>
                <c:pt idx="4">
                  <c:v>4.4837368421052624</c:v>
                </c:pt>
                <c:pt idx="5">
                  <c:v>4.4388181818181813</c:v>
                </c:pt>
                <c:pt idx="6">
                  <c:v>4.211090909090907</c:v>
                </c:pt>
                <c:pt idx="7">
                  <c:v>4.2165909090909084</c:v>
                </c:pt>
                <c:pt idx="8">
                  <c:v>4.1117272727272738</c:v>
                </c:pt>
                <c:pt idx="9">
                  <c:v>4.379714285714285</c:v>
                </c:pt>
                <c:pt idx="10">
                  <c:v>4.473409090909092</c:v>
                </c:pt>
                <c:pt idx="11">
                  <c:v>4.5100000000000007</c:v>
                </c:pt>
                <c:pt idx="12">
                  <c:v>4.7187000000000001</c:v>
                </c:pt>
                <c:pt idx="13">
                  <c:v>5.2919499999999982</c:v>
                </c:pt>
                <c:pt idx="14">
                  <c:v>7.0729565217391306</c:v>
                </c:pt>
                <c:pt idx="15">
                  <c:v>7.0619473684210519</c:v>
                </c:pt>
                <c:pt idx="16">
                  <c:v>7.8541428571428575</c:v>
                </c:pt>
                <c:pt idx="17">
                  <c:v>8.2152500000000011</c:v>
                </c:pt>
                <c:pt idx="18">
                  <c:v>8.9338095238095239</c:v>
                </c:pt>
                <c:pt idx="19">
                  <c:v>8.3707727272727244</c:v>
                </c:pt>
                <c:pt idx="20">
                  <c:v>8.4824761904761914</c:v>
                </c:pt>
                <c:pt idx="21">
                  <c:v>9.1233809523809519</c:v>
                </c:pt>
                <c:pt idx="22">
                  <c:v>8.111727272727272</c:v>
                </c:pt>
                <c:pt idx="23">
                  <c:v>6.7263999999999999</c:v>
                </c:pt>
                <c:pt idx="24">
                  <c:v>6.9507619047619036</c:v>
                </c:pt>
                <c:pt idx="25">
                  <c:v>7.2548999999999992</c:v>
                </c:pt>
                <c:pt idx="26">
                  <c:v>7.6079565217391307</c:v>
                </c:pt>
                <c:pt idx="27">
                  <c:v>7.3001000000000005</c:v>
                </c:pt>
                <c:pt idx="28">
                  <c:v>7.2957391304347832</c:v>
                </c:pt>
                <c:pt idx="29">
                  <c:v>7.3490454545454549</c:v>
                </c:pt>
                <c:pt idx="30">
                  <c:v>7.3023809523809531</c:v>
                </c:pt>
                <c:pt idx="31">
                  <c:v>7.289217391304347</c:v>
                </c:pt>
                <c:pt idx="32">
                  <c:v>7.6674285714285713</c:v>
                </c:pt>
                <c:pt idx="33">
                  <c:v>8.4710454545454539</c:v>
                </c:pt>
                <c:pt idx="34">
                  <c:v>7.9498181818181815</c:v>
                </c:pt>
                <c:pt idx="35">
                  <c:v>7.2110526315789469</c:v>
                </c:pt>
                <c:pt idx="36">
                  <c:v>7.1080869565217384</c:v>
                </c:pt>
                <c:pt idx="37">
                  <c:v>7.1622857142857139</c:v>
                </c:pt>
                <c:pt idx="38">
                  <c:v>7.0968095238095232</c:v>
                </c:pt>
                <c:pt idx="39">
                  <c:v>7.3660454545454543</c:v>
                </c:pt>
                <c:pt idx="40">
                  <c:v>7.1922272727272736</c:v>
                </c:pt>
                <c:pt idx="41">
                  <c:v>7.0575000000000001</c:v>
                </c:pt>
                <c:pt idx="42">
                  <c:v>7.0645217391304342</c:v>
                </c:pt>
                <c:pt idx="43">
                  <c:v>6.8337272727272724</c:v>
                </c:pt>
                <c:pt idx="44">
                  <c:v>6.5489500000000005</c:v>
                </c:pt>
                <c:pt idx="45">
                  <c:v>6.5859565217391305</c:v>
                </c:pt>
                <c:pt idx="46">
                  <c:v>6.8641428571428564</c:v>
                </c:pt>
                <c:pt idx="47">
                  <c:v>7.0105000000000013</c:v>
                </c:pt>
                <c:pt idx="48">
                  <c:v>7.2052608695652172</c:v>
                </c:pt>
                <c:pt idx="49">
                  <c:v>6.8599999999999994</c:v>
                </c:pt>
                <c:pt idx="50">
                  <c:v>6.7044285714285703</c:v>
                </c:pt>
                <c:pt idx="51">
                  <c:v>6.9787272727272729</c:v>
                </c:pt>
                <c:pt idx="52">
                  <c:v>6.8942272727272726</c:v>
                </c:pt>
                <c:pt idx="53">
                  <c:v>6.6090526315789466</c:v>
                </c:pt>
                <c:pt idx="54">
                  <c:v>6.5071739130434789</c:v>
                </c:pt>
                <c:pt idx="55">
                  <c:v>6.0215238095238091</c:v>
                </c:pt>
                <c:pt idx="56">
                  <c:v>5.8004999999999995</c:v>
                </c:pt>
                <c:pt idx="57">
                  <c:v>5.6776956521739121</c:v>
                </c:pt>
                <c:pt idx="58">
                  <c:v>5.5938499999999998</c:v>
                </c:pt>
                <c:pt idx="59">
                  <c:v>5.6610434782608703</c:v>
                </c:pt>
              </c:numCache>
            </c:numRef>
          </c:val>
          <c:smooth val="0"/>
          <c:extLst>
            <c:ext xmlns:c16="http://schemas.microsoft.com/office/drawing/2014/chart" uri="{C3380CC4-5D6E-409C-BE32-E72D297353CC}">
              <c16:uniqueId val="{00000002-AC6E-42AD-89B5-8B2DE922AF8D}"/>
            </c:ext>
          </c:extLst>
        </c:ser>
        <c:ser>
          <c:idx val="4"/>
          <c:order val="4"/>
          <c:tx>
            <c:strRef>
              <c:f>Sheet1!$G$1</c:f>
              <c:strCache>
                <c:ptCount val="1"/>
                <c:pt idx="0">
                  <c:v>2035թ. մարվող պարտատոմսեր</c:v>
                </c:pt>
              </c:strCache>
            </c:strRef>
          </c:tx>
          <c:spPr>
            <a:ln w="28575" cap="rnd">
              <a:solidFill>
                <a:srgbClr val="4F81BD">
                  <a:lumMod val="75000"/>
                </a:srgbClr>
              </a:solidFill>
              <a:round/>
            </a:ln>
            <a:effectLst/>
          </c:spPr>
          <c:marker>
            <c:symbol val="none"/>
          </c:marker>
          <c:dPt>
            <c:idx val="16"/>
            <c:marker>
              <c:symbol val="none"/>
            </c:marker>
            <c:bubble3D val="0"/>
            <c:extLst>
              <c:ext xmlns:c16="http://schemas.microsoft.com/office/drawing/2014/chart" uri="{C3380CC4-5D6E-409C-BE32-E72D297353CC}">
                <c16:uniqueId val="{00000003-AC6E-42AD-89B5-8B2DE922AF8D}"/>
              </c:ext>
            </c:extLst>
          </c:dPt>
          <c:dPt>
            <c:idx val="17"/>
            <c:marker>
              <c:symbol val="none"/>
            </c:marker>
            <c:bubble3D val="0"/>
            <c:extLst>
              <c:ext xmlns:c16="http://schemas.microsoft.com/office/drawing/2014/chart" uri="{C3380CC4-5D6E-409C-BE32-E72D297353CC}">
                <c16:uniqueId val="{00000004-AC6E-42AD-89B5-8B2DE922AF8D}"/>
              </c:ext>
            </c:extLst>
          </c:dPt>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Sheet1!$G$28:$G$99</c:f>
              <c:numCache>
                <c:formatCode>General</c:formatCode>
                <c:ptCount val="60"/>
                <c:pt idx="51" formatCode="0.0">
                  <c:v>7.4956666666666676</c:v>
                </c:pt>
                <c:pt idx="52" formatCode="0.0">
                  <c:v>7.5330476190476201</c:v>
                </c:pt>
                <c:pt idx="53" formatCode="0.0">
                  <c:v>7.2640526315789486</c:v>
                </c:pt>
                <c:pt idx="54" formatCode="0.0">
                  <c:v>7.0958636363636369</c:v>
                </c:pt>
                <c:pt idx="55" formatCode="0.0">
                  <c:v>6.6814999999999998</c:v>
                </c:pt>
                <c:pt idx="56" formatCode="0.0">
                  <c:v>6.6529999999999996</c:v>
                </c:pt>
                <c:pt idx="57" formatCode="0.0">
                  <c:v>6.3043636363636359</c:v>
                </c:pt>
                <c:pt idx="58" formatCode="0.0">
                  <c:v>6.1888888888888891</c:v>
                </c:pt>
                <c:pt idx="59" formatCode="0.0">
                  <c:v>6.187608695652175</c:v>
                </c:pt>
              </c:numCache>
            </c:numRef>
          </c:val>
          <c:smooth val="0"/>
          <c:extLst>
            <c:ext xmlns:c16="http://schemas.microsoft.com/office/drawing/2014/chart" uri="{C3380CC4-5D6E-409C-BE32-E72D297353CC}">
              <c16:uniqueId val="{00000005-AC6E-42AD-89B5-8B2DE922AF8D}"/>
            </c:ext>
          </c:extLst>
        </c:ser>
        <c:dLbls>
          <c:showLegendKey val="0"/>
          <c:showVal val="0"/>
          <c:showCatName val="0"/>
          <c:showSerName val="0"/>
          <c:showPercent val="0"/>
          <c:showBubbleSize val="0"/>
        </c:dLbls>
        <c:marker val="1"/>
        <c:smooth val="0"/>
        <c:axId val="1152193232"/>
        <c:axId val="1152193560"/>
      </c:lineChar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Sheet1!$A$28:$B$74</c:f>
              <c:multiLvlStrCache>
                <c:ptCount val="35"/>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lvl>
                <c:lvl>
                  <c:pt idx="0">
                    <c:v>2021</c:v>
                  </c:pt>
                  <c:pt idx="12">
                    <c:v>2022</c:v>
                  </c:pt>
                  <c:pt idx="24">
                    <c:v>2023</c:v>
                  </c:pt>
                </c:lvl>
              </c:multiLvlStrCache>
            </c:multiLvlStrRef>
          </c:cat>
          <c:val>
            <c:numRef>
              <c:f>Sheet1!$C$16:$C$67</c:f>
            </c:numRef>
          </c:val>
          <c:smooth val="0"/>
          <c:extLst>
            <c:ext xmlns:c16="http://schemas.microsoft.com/office/drawing/2014/chart" uri="{C3380CC4-5D6E-409C-BE32-E72D297353CC}">
              <c16:uniqueId val="{00000006-AC6E-42AD-89B5-8B2DE922AF8D}"/>
            </c:ext>
          </c:extLst>
        </c:ser>
        <c:dLbls>
          <c:showLegendKey val="0"/>
          <c:showVal val="0"/>
          <c:showCatName val="0"/>
          <c:showSerName val="0"/>
          <c:showPercent val="0"/>
          <c:showBubbleSize val="0"/>
        </c:dLbls>
        <c:marker val="1"/>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5734834468867014"/>
          <c:h val="0.20098617589368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Ռիսկի հավելավճար, բազիսային կետ</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Sheet1!$C$2:$C$68</c:f>
            </c:numRef>
          </c:val>
          <c:smooth val="0"/>
          <c:extLst>
            <c:ext xmlns:c16="http://schemas.microsoft.com/office/drawing/2014/chart" uri="{C3380CC4-5D6E-409C-BE32-E72D297353CC}">
              <c16:uniqueId val="{00000000-A41F-4E9D-8B78-A7C704F5D742}"/>
            </c:ext>
          </c:extLst>
        </c:ser>
        <c:ser>
          <c:idx val="1"/>
          <c:order val="1"/>
          <c:tx>
            <c:strRef>
              <c:f>Sheet1!$D$1</c:f>
              <c:strCache>
                <c:ptCount val="1"/>
                <c:pt idx="0">
                  <c:v>2025թ. մարվող պարտատոմսեր</c:v>
                </c:pt>
              </c:strCache>
            </c:strRef>
          </c:tx>
          <c:spPr>
            <a:ln w="28575" cap="rnd">
              <a:solidFill>
                <a:srgbClr val="FAC090"/>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Sheet1!$D$16:$D$75</c:f>
            </c:numRef>
          </c:val>
          <c:smooth val="0"/>
          <c:extLst>
            <c:ext xmlns:c16="http://schemas.microsoft.com/office/drawing/2014/chart" uri="{C3380CC4-5D6E-409C-BE32-E72D297353CC}">
              <c16:uniqueId val="{00000001-A41F-4E9D-8B78-A7C704F5D742}"/>
            </c:ext>
          </c:extLst>
        </c:ser>
        <c:ser>
          <c:idx val="2"/>
          <c:order val="2"/>
          <c:tx>
            <c:strRef>
              <c:f>Sheet1!$E$1</c:f>
              <c:strCache>
                <c:ptCount val="1"/>
                <c:pt idx="0">
                  <c:v>2029թ. մարվող պարտատոմսեր</c:v>
                </c:pt>
              </c:strCache>
            </c:strRef>
          </c:tx>
          <c:spPr>
            <a:ln w="28575" cap="rnd">
              <a:solidFill>
                <a:srgbClr val="F79646"/>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Sheet1!$E$16:$E$99</c:f>
              <c:numCache>
                <c:formatCode>0.0</c:formatCode>
                <c:ptCount val="60"/>
                <c:pt idx="0">
                  <c:v>260.53190000000001</c:v>
                </c:pt>
                <c:pt idx="1">
                  <c:v>270.36059999999998</c:v>
                </c:pt>
                <c:pt idx="2">
                  <c:v>288.58165217391308</c:v>
                </c:pt>
                <c:pt idx="3">
                  <c:v>294.11352380952371</c:v>
                </c:pt>
                <c:pt idx="4">
                  <c:v>272.05136842105264</c:v>
                </c:pt>
                <c:pt idx="5">
                  <c:v>275.1784545454546</c:v>
                </c:pt>
                <c:pt idx="6">
                  <c:v>271.63656521739131</c:v>
                </c:pt>
                <c:pt idx="7">
                  <c:v>279.08347619047618</c:v>
                </c:pt>
                <c:pt idx="8">
                  <c:v>264.96990909090908</c:v>
                </c:pt>
                <c:pt idx="9">
                  <c:v>271.18861904761906</c:v>
                </c:pt>
                <c:pt idx="10">
                  <c:v>279.76836363636369</c:v>
                </c:pt>
                <c:pt idx="11">
                  <c:v>292.65804761904764</c:v>
                </c:pt>
                <c:pt idx="12">
                  <c:v>281.3922</c:v>
                </c:pt>
                <c:pt idx="13">
                  <c:v>310.24280000000005</c:v>
                </c:pt>
                <c:pt idx="14">
                  <c:v>474.19495652173907</c:v>
                </c:pt>
                <c:pt idx="15">
                  <c:v>413.37378947368427</c:v>
                </c:pt>
                <c:pt idx="16">
                  <c:v>469.17838095238102</c:v>
                </c:pt>
                <c:pt idx="17">
                  <c:v>505.30729999999994</c:v>
                </c:pt>
                <c:pt idx="18">
                  <c:v>609.5586666666668</c:v>
                </c:pt>
                <c:pt idx="19">
                  <c:v>560.28140909090905</c:v>
                </c:pt>
                <c:pt idx="20">
                  <c:v>527.93804761904767</c:v>
                </c:pt>
                <c:pt idx="21">
                  <c:v>559.13533333333339</c:v>
                </c:pt>
                <c:pt idx="22">
                  <c:v>455.68936363636368</c:v>
                </c:pt>
                <c:pt idx="23">
                  <c:v>346.68850000000003</c:v>
                </c:pt>
                <c:pt idx="24">
                  <c:v>336.59571428571428</c:v>
                </c:pt>
                <c:pt idx="25">
                  <c:v>323.19130000000001</c:v>
                </c:pt>
                <c:pt idx="26">
                  <c:v>373.95347826086964</c:v>
                </c:pt>
                <c:pt idx="27">
                  <c:v>384.58131578947371</c:v>
                </c:pt>
                <c:pt idx="28">
                  <c:v>374.97652173913048</c:v>
                </c:pt>
                <c:pt idx="29">
                  <c:v>344.8982272727273</c:v>
                </c:pt>
                <c:pt idx="30">
                  <c:v>321.8642857142857</c:v>
                </c:pt>
                <c:pt idx="31">
                  <c:v>299.55973913043476</c:v>
                </c:pt>
                <c:pt idx="32">
                  <c:v>318.48890476190473</c:v>
                </c:pt>
                <c:pt idx="33">
                  <c:v>349.964</c:v>
                </c:pt>
                <c:pt idx="34">
                  <c:v>321.70004545454549</c:v>
                </c:pt>
                <c:pt idx="35">
                  <c:v>296.75421052631572</c:v>
                </c:pt>
                <c:pt idx="36">
                  <c:v>294.23473913043472</c:v>
                </c:pt>
                <c:pt idx="37">
                  <c:v>281.67386363636365</c:v>
                </c:pt>
                <c:pt idx="38">
                  <c:v>271.69009523809518</c:v>
                </c:pt>
                <c:pt idx="39">
                  <c:v>263.33645454545461</c:v>
                </c:pt>
                <c:pt idx="40">
                  <c:v>254.79831818181819</c:v>
                </c:pt>
                <c:pt idx="41">
                  <c:v>265.00065000000001</c:v>
                </c:pt>
                <c:pt idx="42">
                  <c:v>278.97130434782611</c:v>
                </c:pt>
                <c:pt idx="43" formatCode="0">
                  <c:v>305.63468181818189</c:v>
                </c:pt>
                <c:pt idx="44" formatCode="0">
                  <c:v>296.29129999999998</c:v>
                </c:pt>
                <c:pt idx="45">
                  <c:v>262.30082608695653</c:v>
                </c:pt>
                <c:pt idx="46">
                  <c:v>255.91895238095242</c:v>
                </c:pt>
                <c:pt idx="47" formatCode="0">
                  <c:v>262.67627272727276</c:v>
                </c:pt>
                <c:pt idx="48" formatCode="0">
                  <c:v>265.99008695652168</c:v>
                </c:pt>
                <c:pt idx="49" formatCode="0">
                  <c:v>250.51039999999998</c:v>
                </c:pt>
                <c:pt idx="50" formatCode="0">
                  <c:v>256.22090476190476</c:v>
                </c:pt>
                <c:pt idx="51" formatCode="0">
                  <c:v>278.82745454545454</c:v>
                </c:pt>
                <c:pt idx="52" formatCode="0">
                  <c:v>260.25200000000001</c:v>
                </c:pt>
                <c:pt idx="53" formatCode="0">
                  <c:v>222.13068421052628</c:v>
                </c:pt>
                <c:pt idx="54" formatCode="0">
                  <c:v>217.97395652173913</c:v>
                </c:pt>
                <c:pt idx="55" formatCode="0">
                  <c:v>206.43666666666664</c:v>
                </c:pt>
                <c:pt idx="56" formatCode="0">
                  <c:v>196.96109090909087</c:v>
                </c:pt>
                <c:pt idx="57" formatCode="0">
                  <c:v>185.02286956521743</c:v>
                </c:pt>
                <c:pt idx="58" formatCode="0">
                  <c:v>168.69740000000004</c:v>
                </c:pt>
                <c:pt idx="59" formatCode="0">
                  <c:v>164.47565217391306</c:v>
                </c:pt>
              </c:numCache>
            </c:numRef>
          </c:val>
          <c:smooth val="0"/>
          <c:extLst>
            <c:ext xmlns:c16="http://schemas.microsoft.com/office/drawing/2014/chart" uri="{C3380CC4-5D6E-409C-BE32-E72D297353CC}">
              <c16:uniqueId val="{00000002-A41F-4E9D-8B78-A7C704F5D742}"/>
            </c:ext>
          </c:extLst>
        </c:ser>
        <c:ser>
          <c:idx val="3"/>
          <c:order val="3"/>
          <c:tx>
            <c:strRef>
              <c:f>Sheet1!$F$1</c:f>
              <c:strCache>
                <c:ptCount val="1"/>
                <c:pt idx="0">
                  <c:v>2031թ. մարվող պարտատոմսեր</c:v>
                </c:pt>
              </c:strCache>
            </c:strRef>
          </c:tx>
          <c:spPr>
            <a:ln w="28575" cap="rnd">
              <a:solidFill>
                <a:sysClr val="windowText" lastClr="000000">
                  <a:lumMod val="50000"/>
                  <a:lumOff val="50000"/>
                </a:sys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Sheet1!$F$16:$F$99</c:f>
              <c:numCache>
                <c:formatCode>0.0</c:formatCode>
                <c:ptCount val="60"/>
                <c:pt idx="1">
                  <c:v>287.81529999999998</c:v>
                </c:pt>
                <c:pt idx="2">
                  <c:v>293.64643478260865</c:v>
                </c:pt>
                <c:pt idx="3">
                  <c:v>297.05875000000003</c:v>
                </c:pt>
                <c:pt idx="4">
                  <c:v>286.22431578947368</c:v>
                </c:pt>
                <c:pt idx="5">
                  <c:v>292.26331818181819</c:v>
                </c:pt>
                <c:pt idx="6">
                  <c:v>289.64168181818172</c:v>
                </c:pt>
                <c:pt idx="7">
                  <c:v>293.86547619047627</c:v>
                </c:pt>
                <c:pt idx="8">
                  <c:v>274.45186363636361</c:v>
                </c:pt>
                <c:pt idx="9">
                  <c:v>280.23314285714287</c:v>
                </c:pt>
                <c:pt idx="10">
                  <c:v>291.77981818181809</c:v>
                </c:pt>
                <c:pt idx="11">
                  <c:v>304.84927272727271</c:v>
                </c:pt>
                <c:pt idx="12">
                  <c:v>294.56664999999998</c:v>
                </c:pt>
                <c:pt idx="13">
                  <c:v>335.59029999999996</c:v>
                </c:pt>
                <c:pt idx="14">
                  <c:v>494.65360869565217</c:v>
                </c:pt>
                <c:pt idx="15">
                  <c:v>432.86089473684211</c:v>
                </c:pt>
                <c:pt idx="16">
                  <c:v>496.85180952380949</c:v>
                </c:pt>
                <c:pt idx="17">
                  <c:v>505.76620000000003</c:v>
                </c:pt>
                <c:pt idx="18">
                  <c:v>603.85495238095223</c:v>
                </c:pt>
                <c:pt idx="19">
                  <c:v>548.57745454545466</c:v>
                </c:pt>
                <c:pt idx="20">
                  <c:v>496.96447619047615</c:v>
                </c:pt>
                <c:pt idx="21">
                  <c:v>515.88409523809526</c:v>
                </c:pt>
                <c:pt idx="22">
                  <c:v>423.51577272727263</c:v>
                </c:pt>
                <c:pt idx="23">
                  <c:v>312.66779999999994</c:v>
                </c:pt>
                <c:pt idx="24">
                  <c:v>342.37304761904755</c:v>
                </c:pt>
                <c:pt idx="25">
                  <c:v>350.27915000000013</c:v>
                </c:pt>
                <c:pt idx="26">
                  <c:v>395.31556521739122</c:v>
                </c:pt>
                <c:pt idx="27">
                  <c:v>384.50124999999997</c:v>
                </c:pt>
                <c:pt idx="28">
                  <c:v>371.43139130434787</c:v>
                </c:pt>
                <c:pt idx="29">
                  <c:v>360.74450000000002</c:v>
                </c:pt>
                <c:pt idx="30">
                  <c:v>340.69652380952374</c:v>
                </c:pt>
                <c:pt idx="31">
                  <c:v>312.34913043478258</c:v>
                </c:pt>
                <c:pt idx="32">
                  <c:v>330.42495238095239</c:v>
                </c:pt>
                <c:pt idx="33">
                  <c:v>367.81845454545447</c:v>
                </c:pt>
                <c:pt idx="34">
                  <c:v>345.32299999999998</c:v>
                </c:pt>
                <c:pt idx="35">
                  <c:v>319.01173684210528</c:v>
                </c:pt>
                <c:pt idx="36">
                  <c:v>306.96339130434779</c:v>
                </c:pt>
                <c:pt idx="37">
                  <c:v>294.79900000000004</c:v>
                </c:pt>
                <c:pt idx="38">
                  <c:v>289.30819047619053</c:v>
                </c:pt>
                <c:pt idx="39">
                  <c:v>283.08527272727275</c:v>
                </c:pt>
                <c:pt idx="40">
                  <c:v>271.00281818181821</c:v>
                </c:pt>
                <c:pt idx="41">
                  <c:v>276.54955000000001</c:v>
                </c:pt>
                <c:pt idx="42">
                  <c:v>281.83617391304352</c:v>
                </c:pt>
                <c:pt idx="43" formatCode="0">
                  <c:v>296.79859090909093</c:v>
                </c:pt>
                <c:pt idx="44" formatCode="0">
                  <c:v>282.49499999999995</c:v>
                </c:pt>
                <c:pt idx="45">
                  <c:v>249.28639130434789</c:v>
                </c:pt>
                <c:pt idx="46">
                  <c:v>251.08033333333333</c:v>
                </c:pt>
                <c:pt idx="47" formatCode="0">
                  <c:v>260.98418181818181</c:v>
                </c:pt>
                <c:pt idx="48" formatCode="0">
                  <c:v>277.98639130434782</c:v>
                </c:pt>
                <c:pt idx="49" formatCode="0">
                  <c:v>257.5168000000001</c:v>
                </c:pt>
                <c:pt idx="50" formatCode="0">
                  <c:v>266.43609523809528</c:v>
                </c:pt>
                <c:pt idx="51" formatCode="0">
                  <c:v>306.1068181818182</c:v>
                </c:pt>
                <c:pt idx="52" formatCode="0">
                  <c:v>287.09718181818175</c:v>
                </c:pt>
                <c:pt idx="53" formatCode="0">
                  <c:v>263.0725263157895</c:v>
                </c:pt>
                <c:pt idx="54" formatCode="0">
                  <c:v>256.28773913043477</c:v>
                </c:pt>
                <c:pt idx="55" formatCode="0">
                  <c:v>224.27333333333337</c:v>
                </c:pt>
                <c:pt idx="56" formatCode="0">
                  <c:v>213.67009090909093</c:v>
                </c:pt>
                <c:pt idx="57" formatCode="0">
                  <c:v>203.54369565217391</c:v>
                </c:pt>
                <c:pt idx="58" formatCode="0">
                  <c:v>192.59835000000001</c:v>
                </c:pt>
                <c:pt idx="59" formatCode="0">
                  <c:v>195.89091304347829</c:v>
                </c:pt>
              </c:numCache>
            </c:numRef>
          </c:val>
          <c:smooth val="0"/>
          <c:extLst>
            <c:ext xmlns:c16="http://schemas.microsoft.com/office/drawing/2014/chart" uri="{C3380CC4-5D6E-409C-BE32-E72D297353CC}">
              <c16:uniqueId val="{00000003-A41F-4E9D-8B78-A7C704F5D742}"/>
            </c:ext>
          </c:extLst>
        </c:ser>
        <c:ser>
          <c:idx val="4"/>
          <c:order val="4"/>
          <c:tx>
            <c:strRef>
              <c:f>Sheet1!$G$1</c:f>
              <c:strCache>
                <c:ptCount val="1"/>
                <c:pt idx="0">
                  <c:v>2035թ. մարվող պարտատոմսեր</c:v>
                </c:pt>
              </c:strCache>
            </c:strRef>
          </c:tx>
          <c:spPr>
            <a:ln w="28575" cap="rnd">
              <a:solidFill>
                <a:srgbClr val="4F81BD">
                  <a:lumMod val="75000"/>
                </a:srgb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Sheet1!$G$28:$G$99</c:f>
              <c:numCache>
                <c:formatCode>General</c:formatCode>
                <c:ptCount val="60"/>
                <c:pt idx="51" formatCode="0.0">
                  <c:v>323.0280952380952</c:v>
                </c:pt>
                <c:pt idx="52" formatCode="0.0">
                  <c:v>310.91571428571427</c:v>
                </c:pt>
                <c:pt idx="53" formatCode="0">
                  <c:v>287.69847368421057</c:v>
                </c:pt>
                <c:pt idx="54" formatCode="0">
                  <c:v>271.54131818181821</c:v>
                </c:pt>
                <c:pt idx="55" formatCode="0">
                  <c:v>239.25019047619048</c:v>
                </c:pt>
                <c:pt idx="56" formatCode="0">
                  <c:v>231.82652380952376</c:v>
                </c:pt>
                <c:pt idx="57" formatCode="0">
                  <c:v>225.86390909090906</c:v>
                </c:pt>
                <c:pt idx="58" formatCode="0">
                  <c:v>209.80138888888891</c:v>
                </c:pt>
                <c:pt idx="59" formatCode="0">
                  <c:v>204.85030434782607</c:v>
                </c:pt>
              </c:numCache>
            </c:numRef>
          </c:val>
          <c:smooth val="0"/>
          <c:extLst>
            <c:ext xmlns:c16="http://schemas.microsoft.com/office/drawing/2014/chart" uri="{C3380CC4-5D6E-409C-BE32-E72D297353CC}">
              <c16:uniqueId val="{00000004-A41F-4E9D-8B78-A7C704F5D742}"/>
            </c:ext>
          </c:extLst>
        </c:ser>
        <c:dLbls>
          <c:showLegendKey val="0"/>
          <c:showVal val="0"/>
          <c:showCatName val="0"/>
          <c:showSerName val="0"/>
          <c:showPercent val="0"/>
          <c:showBubbleSize val="0"/>
        </c:dLbls>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max val="7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3281892289526358"/>
          <c:h val="0.191835049224329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պղնձի միջազգային գներ</a:t>
            </a:r>
            <a:endParaRPr lang="en-US" sz="1000" dirty="0">
              <a:effectLst/>
              <a:latin typeface="GHEA Grapalat" panose="02000506050000020003" pitchFamily="50" charset="0"/>
            </a:endParaRPr>
          </a:p>
        </c:rich>
      </c:tx>
      <c:layout>
        <c:manualLayout>
          <c:xMode val="edge"/>
          <c:yMode val="edge"/>
          <c:x val="0.21508933979406425"/>
          <c:y val="1.4988758431176618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4651095295780336"/>
          <c:y val="0.13848012850852659"/>
          <c:w val="0.75152937613567539"/>
          <c:h val="0.57736885697474394"/>
        </c:manualLayout>
      </c:layout>
      <c:lineChart>
        <c:grouping val="standard"/>
        <c:varyColors val="0"/>
        <c:ser>
          <c:idx val="1"/>
          <c:order val="1"/>
          <c:tx>
            <c:strRef>
              <c:f>Sheet1!$D$1</c:f>
              <c:strCache>
                <c:ptCount val="1"/>
                <c:pt idx="0">
                  <c:v>Պղինձ, դոլար/տոննա</c:v>
                </c:pt>
              </c:strCache>
            </c:strRef>
          </c:tx>
          <c:spPr>
            <a:ln w="31750" cap="rnd">
              <a:solidFill>
                <a:schemeClr val="accent1">
                  <a:lumMod val="50000"/>
                </a:scheme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Sheet1!$D$14:$D$97</c:f>
              <c:numCache>
                <c:formatCode>0</c:formatCode>
                <c:ptCount val="60"/>
                <c:pt idx="0">
                  <c:v>7972.15</c:v>
                </c:pt>
                <c:pt idx="1">
                  <c:v>8470.94</c:v>
                </c:pt>
                <c:pt idx="2">
                  <c:v>8988.25</c:v>
                </c:pt>
                <c:pt idx="3">
                  <c:v>9324.82</c:v>
                </c:pt>
                <c:pt idx="4">
                  <c:v>10161.969999999999</c:v>
                </c:pt>
                <c:pt idx="5">
                  <c:v>9631.5</c:v>
                </c:pt>
                <c:pt idx="6">
                  <c:v>9450.82</c:v>
                </c:pt>
                <c:pt idx="7">
                  <c:v>9370.14</c:v>
                </c:pt>
                <c:pt idx="8">
                  <c:v>9324.7099999999991</c:v>
                </c:pt>
                <c:pt idx="9">
                  <c:v>9829.2199999999993</c:v>
                </c:pt>
                <c:pt idx="10">
                  <c:v>9728.9</c:v>
                </c:pt>
                <c:pt idx="11">
                  <c:v>9551.18</c:v>
                </c:pt>
                <c:pt idx="12">
                  <c:v>9782.34</c:v>
                </c:pt>
                <c:pt idx="13">
                  <c:v>9943.17</c:v>
                </c:pt>
                <c:pt idx="14">
                  <c:v>10230.89</c:v>
                </c:pt>
                <c:pt idx="15">
                  <c:v>10161.379999999999</c:v>
                </c:pt>
                <c:pt idx="16">
                  <c:v>9377.15</c:v>
                </c:pt>
                <c:pt idx="17">
                  <c:v>9024.4599999999991</c:v>
                </c:pt>
                <c:pt idx="18">
                  <c:v>7544.81</c:v>
                </c:pt>
                <c:pt idx="19">
                  <c:v>7981.84</c:v>
                </c:pt>
                <c:pt idx="20">
                  <c:v>7746.01</c:v>
                </c:pt>
                <c:pt idx="21">
                  <c:v>7651.08</c:v>
                </c:pt>
                <c:pt idx="22">
                  <c:v>8049.86</c:v>
                </c:pt>
                <c:pt idx="23">
                  <c:v>8375.4</c:v>
                </c:pt>
                <c:pt idx="24">
                  <c:v>9037.9500000000007</c:v>
                </c:pt>
                <c:pt idx="25">
                  <c:v>8936.59</c:v>
                </c:pt>
                <c:pt idx="26">
                  <c:v>8856.31</c:v>
                </c:pt>
                <c:pt idx="27">
                  <c:v>8809.42</c:v>
                </c:pt>
                <c:pt idx="28">
                  <c:v>8217.4699999999993</c:v>
                </c:pt>
                <c:pt idx="29">
                  <c:v>8396.52</c:v>
                </c:pt>
                <c:pt idx="30">
                  <c:v>8476.68</c:v>
                </c:pt>
                <c:pt idx="31">
                  <c:v>8349.1299999999992</c:v>
                </c:pt>
                <c:pt idx="32">
                  <c:v>8276.7099999999991</c:v>
                </c:pt>
                <c:pt idx="33">
                  <c:v>7937.18</c:v>
                </c:pt>
                <c:pt idx="34">
                  <c:v>8189.59</c:v>
                </c:pt>
                <c:pt idx="35">
                  <c:v>8399.94</c:v>
                </c:pt>
                <c:pt idx="36">
                  <c:v>8338.8799999999992</c:v>
                </c:pt>
                <c:pt idx="37">
                  <c:v>8304.9500000000007</c:v>
                </c:pt>
                <c:pt idx="38">
                  <c:v>8689.1299999999992</c:v>
                </c:pt>
                <c:pt idx="39">
                  <c:v>9464.43</c:v>
                </c:pt>
                <c:pt idx="40">
                  <c:v>10139.33</c:v>
                </c:pt>
                <c:pt idx="41">
                  <c:v>9648.17</c:v>
                </c:pt>
                <c:pt idx="42">
                  <c:v>9385.31</c:v>
                </c:pt>
                <c:pt idx="43">
                  <c:v>8971.9599999999991</c:v>
                </c:pt>
                <c:pt idx="44">
                  <c:v>9237.48</c:v>
                </c:pt>
                <c:pt idx="45">
                  <c:v>9533.99</c:v>
                </c:pt>
                <c:pt idx="46">
                  <c:v>9075.73</c:v>
                </c:pt>
                <c:pt idx="47">
                  <c:v>8916.32</c:v>
                </c:pt>
                <c:pt idx="48">
                  <c:v>8991.41</c:v>
                </c:pt>
                <c:pt idx="49">
                  <c:v>9330.6</c:v>
                </c:pt>
                <c:pt idx="50">
                  <c:v>9739.68</c:v>
                </c:pt>
                <c:pt idx="51">
                  <c:v>9176.7999999999993</c:v>
                </c:pt>
                <c:pt idx="52">
                  <c:v>9532.98</c:v>
                </c:pt>
                <c:pt idx="53">
                  <c:v>9835.07</c:v>
                </c:pt>
                <c:pt idx="54">
                  <c:v>9770.58</c:v>
                </c:pt>
                <c:pt idx="55">
                  <c:v>9669.56</c:v>
                </c:pt>
                <c:pt idx="56">
                  <c:v>9983.7900000000009</c:v>
                </c:pt>
                <c:pt idx="57">
                  <c:v>10739.91</c:v>
                </c:pt>
                <c:pt idx="58">
                  <c:v>10812.03</c:v>
                </c:pt>
                <c:pt idx="59">
                  <c:v>11785.25</c:v>
                </c:pt>
              </c:numCache>
            </c:numRef>
          </c:val>
          <c:smooth val="0"/>
          <c:extLst>
            <c:ext xmlns:c16="http://schemas.microsoft.com/office/drawing/2014/chart" uri="{C3380CC4-5D6E-409C-BE32-E72D297353CC}">
              <c16:uniqueId val="{00000000-D335-44E4-8E69-7451325ECD8B}"/>
            </c:ext>
          </c:extLst>
        </c:ser>
        <c:dLbls>
          <c:showLegendKey val="0"/>
          <c:showVal val="0"/>
          <c:showCatName val="0"/>
          <c:showSerName val="0"/>
          <c:showPercent val="0"/>
          <c:showBubbleSize val="0"/>
        </c:dLbls>
        <c:marker val="1"/>
        <c:smooth val="0"/>
        <c:axId val="1913059888"/>
        <c:axId val="1913057712"/>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6">
                  <a:lumMod val="60000"/>
                  <a:lumOff val="40000"/>
                </a:scheme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Sheet1!$C$14:$C$97</c:f>
              <c:numCache>
                <c:formatCode>0</c:formatCode>
                <c:ptCount val="60"/>
                <c:pt idx="0">
                  <c:v>54.55</c:v>
                </c:pt>
                <c:pt idx="1">
                  <c:v>61.96</c:v>
                </c:pt>
                <c:pt idx="2">
                  <c:v>65.19</c:v>
                </c:pt>
                <c:pt idx="3">
                  <c:v>64.77</c:v>
                </c:pt>
                <c:pt idx="4">
                  <c:v>68.040000000000006</c:v>
                </c:pt>
                <c:pt idx="5">
                  <c:v>73.069999999999993</c:v>
                </c:pt>
                <c:pt idx="6">
                  <c:v>74.39</c:v>
                </c:pt>
                <c:pt idx="7">
                  <c:v>70.02</c:v>
                </c:pt>
                <c:pt idx="8">
                  <c:v>74.599999999999994</c:v>
                </c:pt>
                <c:pt idx="9">
                  <c:v>83.65</c:v>
                </c:pt>
                <c:pt idx="10">
                  <c:v>80.77</c:v>
                </c:pt>
                <c:pt idx="11">
                  <c:v>74.31</c:v>
                </c:pt>
                <c:pt idx="12">
                  <c:v>85.53</c:v>
                </c:pt>
                <c:pt idx="13">
                  <c:v>95.76</c:v>
                </c:pt>
                <c:pt idx="14">
                  <c:v>115.59</c:v>
                </c:pt>
                <c:pt idx="15">
                  <c:v>105.78</c:v>
                </c:pt>
                <c:pt idx="16">
                  <c:v>112.37</c:v>
                </c:pt>
                <c:pt idx="17">
                  <c:v>120.08</c:v>
                </c:pt>
                <c:pt idx="18">
                  <c:v>108.92</c:v>
                </c:pt>
                <c:pt idx="19">
                  <c:v>98.6</c:v>
                </c:pt>
                <c:pt idx="20">
                  <c:v>90.16</c:v>
                </c:pt>
                <c:pt idx="21">
                  <c:v>93.13</c:v>
                </c:pt>
                <c:pt idx="22">
                  <c:v>91.07</c:v>
                </c:pt>
                <c:pt idx="23">
                  <c:v>80.900000000000006</c:v>
                </c:pt>
                <c:pt idx="24">
                  <c:v>83.09</c:v>
                </c:pt>
                <c:pt idx="25">
                  <c:v>82.71</c:v>
                </c:pt>
                <c:pt idx="26">
                  <c:v>78.53</c:v>
                </c:pt>
                <c:pt idx="27">
                  <c:v>84.11</c:v>
                </c:pt>
                <c:pt idx="28">
                  <c:v>75.7</c:v>
                </c:pt>
                <c:pt idx="29">
                  <c:v>74.89</c:v>
                </c:pt>
                <c:pt idx="30">
                  <c:v>80.099999999999994</c:v>
                </c:pt>
                <c:pt idx="31">
                  <c:v>86.162999999999997</c:v>
                </c:pt>
                <c:pt idx="32">
                  <c:v>94</c:v>
                </c:pt>
                <c:pt idx="33">
                  <c:v>91.061000000000007</c:v>
                </c:pt>
                <c:pt idx="34">
                  <c:v>83.183000000000007</c:v>
                </c:pt>
                <c:pt idx="35">
                  <c:v>77.858000000000004</c:v>
                </c:pt>
                <c:pt idx="36">
                  <c:v>80.227000000000004</c:v>
                </c:pt>
                <c:pt idx="37">
                  <c:v>83.763999999999996</c:v>
                </c:pt>
                <c:pt idx="38">
                  <c:v>85.447000000000003</c:v>
                </c:pt>
                <c:pt idx="39">
                  <c:v>90.054000000000002</c:v>
                </c:pt>
                <c:pt idx="40">
                  <c:v>81.995000000000005</c:v>
                </c:pt>
                <c:pt idx="41">
                  <c:v>82.555000000000007</c:v>
                </c:pt>
                <c:pt idx="42">
                  <c:v>85.296000000000006</c:v>
                </c:pt>
                <c:pt idx="43">
                  <c:v>80.863</c:v>
                </c:pt>
                <c:pt idx="44">
                  <c:v>74.293000000000006</c:v>
                </c:pt>
                <c:pt idx="45">
                  <c:v>75.662000000000006</c:v>
                </c:pt>
                <c:pt idx="46">
                  <c:v>74.394999999999996</c:v>
                </c:pt>
                <c:pt idx="47">
                  <c:v>73.832999999999998</c:v>
                </c:pt>
                <c:pt idx="48">
                  <c:v>79.206000000000003</c:v>
                </c:pt>
                <c:pt idx="49">
                  <c:v>75.156999999999996</c:v>
                </c:pt>
                <c:pt idx="50">
                  <c:v>72.573999999999998</c:v>
                </c:pt>
                <c:pt idx="51">
                  <c:v>67.745000000000005</c:v>
                </c:pt>
                <c:pt idx="52">
                  <c:v>64.206000000000003</c:v>
                </c:pt>
                <c:pt idx="53">
                  <c:v>71.45</c:v>
                </c:pt>
                <c:pt idx="54">
                  <c:v>70.950999999999993</c:v>
                </c:pt>
                <c:pt idx="55">
                  <c:v>68.203000000000003</c:v>
                </c:pt>
                <c:pt idx="56">
                  <c:v>67.950999999999993</c:v>
                </c:pt>
                <c:pt idx="57">
                  <c:v>64.650999999999996</c:v>
                </c:pt>
                <c:pt idx="58">
                  <c:v>63.609000000000002</c:v>
                </c:pt>
                <c:pt idx="59">
                  <c:v>62.72</c:v>
                </c:pt>
              </c:numCache>
            </c:numRef>
          </c:val>
          <c:smooth val="0"/>
          <c:extLst>
            <c:ext xmlns:c16="http://schemas.microsoft.com/office/drawing/2014/chart" uri="{C3380CC4-5D6E-409C-BE32-E72D297353CC}">
              <c16:uniqueId val="{00000001-D335-44E4-8E69-7451325ECD8B}"/>
            </c:ext>
          </c:extLst>
        </c:ser>
        <c:dLbls>
          <c:showLegendKey val="0"/>
          <c:showVal val="0"/>
          <c:showCatName val="0"/>
          <c:showSerName val="0"/>
          <c:showPercent val="0"/>
          <c:showBubbleSize val="0"/>
        </c:dLbls>
        <c:marker val="1"/>
        <c:smooth val="0"/>
        <c:axId val="1913060432"/>
        <c:axId val="1913057168"/>
      </c:lineChart>
      <c:catAx>
        <c:axId val="191305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7712"/>
        <c:crosses val="autoZero"/>
        <c:auto val="1"/>
        <c:lblAlgn val="ctr"/>
        <c:lblOffset val="0"/>
        <c:noMultiLvlLbl val="0"/>
      </c:catAx>
      <c:valAx>
        <c:axId val="1913057712"/>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888"/>
        <c:crosses val="autoZero"/>
        <c:crossBetween val="between"/>
        <c:majorUnit val="5000"/>
      </c:valAx>
      <c:valAx>
        <c:axId val="1913057168"/>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60432"/>
        <c:crosses val="max"/>
        <c:crossBetween val="between"/>
        <c:majorUnit val="50"/>
      </c:valAx>
      <c:catAx>
        <c:axId val="1913060432"/>
        <c:scaling>
          <c:orientation val="minMax"/>
        </c:scaling>
        <c:delete val="1"/>
        <c:axPos val="b"/>
        <c:numFmt formatCode="General" sourceLinked="1"/>
        <c:majorTickMark val="out"/>
        <c:minorTickMark val="none"/>
        <c:tickLblPos val="nextTo"/>
        <c:crossAx val="1913057168"/>
        <c:crosses val="autoZero"/>
        <c:auto val="1"/>
        <c:lblAlgn val="ctr"/>
        <c:lblOffset val="100"/>
        <c:noMultiLvlLbl val="0"/>
      </c:catAx>
      <c:spPr>
        <a:noFill/>
        <a:ln>
          <a:noFill/>
        </a:ln>
        <a:effectLst/>
      </c:spPr>
    </c:plotArea>
    <c:legend>
      <c:legendPos val="b"/>
      <c:layout>
        <c:manualLayout>
          <c:xMode val="edge"/>
          <c:yMode val="edge"/>
          <c:x val="1.5087732860998498E-2"/>
          <c:y val="0.88509783492675009"/>
          <c:w val="0.97829235665236636"/>
          <c:h val="0.110029344856405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r>
              <a:rPr lang="ru-RU" sz="1000" baseline="0" dirty="0">
                <a:latin typeface="GHEA Grapalat" panose="02000506050000020003" pitchFamily="50" charset="0"/>
              </a:rPr>
              <a:t>%</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5811286089238843"/>
        </c:manualLayout>
      </c:layout>
      <c:lineChart>
        <c:grouping val="standard"/>
        <c:varyColors val="0"/>
        <c:ser>
          <c:idx val="0"/>
          <c:order val="0"/>
          <c:tx>
            <c:strRef>
              <c:f>Sheet1!$D$1</c:f>
              <c:strCache>
                <c:ptCount val="1"/>
                <c:pt idx="0">
                  <c:v>Միս</c:v>
                </c:pt>
              </c:strCache>
            </c:strRef>
          </c:tx>
          <c:spPr>
            <a:ln w="12700" cap="rnd">
              <a:solidFill>
                <a:schemeClr val="accent6">
                  <a:lumMod val="60000"/>
                  <a:lumOff val="40000"/>
                </a:schemeClr>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Sheet1!$D$2:$D$85</c:f>
              <c:numCache>
                <c:formatCode>0.0</c:formatCode>
                <c:ptCount val="60"/>
                <c:pt idx="0">
                  <c:v>100</c:v>
                </c:pt>
                <c:pt idx="1">
                  <c:v>101.88341578830294</c:v>
                </c:pt>
                <c:pt idx="2">
                  <c:v>105.00401144427912</c:v>
                </c:pt>
                <c:pt idx="3">
                  <c:v>108.73736683291409</c:v>
                </c:pt>
                <c:pt idx="4">
                  <c:v>111.90439679942057</c:v>
                </c:pt>
                <c:pt idx="5">
                  <c:v>115.34555430126517</c:v>
                </c:pt>
                <c:pt idx="6">
                  <c:v>118.91651770441045</c:v>
                </c:pt>
                <c:pt idx="7">
                  <c:v>118.20747978167893</c:v>
                </c:pt>
                <c:pt idx="8">
                  <c:v>117.42488282183281</c:v>
                </c:pt>
                <c:pt idx="9">
                  <c:v>116.68222778004578</c:v>
                </c:pt>
                <c:pt idx="10">
                  <c:v>117.24536357822487</c:v>
                </c:pt>
                <c:pt idx="11">
                  <c:v>115.70329069554386</c:v>
                </c:pt>
                <c:pt idx="12">
                  <c:v>116.86789802718347</c:v>
                </c:pt>
                <c:pt idx="13">
                  <c:v>118.66656038103829</c:v>
                </c:pt>
                <c:pt idx="14">
                  <c:v>124.34462411816448</c:v>
                </c:pt>
                <c:pt idx="15">
                  <c:v>127.03297025710584</c:v>
                </c:pt>
                <c:pt idx="16">
                  <c:v>128.04522597379705</c:v>
                </c:pt>
                <c:pt idx="17">
                  <c:v>131.22323792809141</c:v>
                </c:pt>
                <c:pt idx="18">
                  <c:v>129.27506295880644</c:v>
                </c:pt>
                <c:pt idx="19">
                  <c:v>126.19107089303392</c:v>
                </c:pt>
                <c:pt idx="20">
                  <c:v>125.33855176481325</c:v>
                </c:pt>
                <c:pt idx="21">
                  <c:v>121.74324972131492</c:v>
                </c:pt>
                <c:pt idx="22">
                  <c:v>119.45103081791926</c:v>
                </c:pt>
                <c:pt idx="23">
                  <c:v>117.13526303275235</c:v>
                </c:pt>
                <c:pt idx="24">
                  <c:v>115.80427618446893</c:v>
                </c:pt>
                <c:pt idx="25">
                  <c:v>118.08183699645991</c:v>
                </c:pt>
                <c:pt idx="26">
                  <c:v>119.51684401979125</c:v>
                </c:pt>
                <c:pt idx="27">
                  <c:v>121.75311141682447</c:v>
                </c:pt>
                <c:pt idx="28">
                  <c:v>123.06331884788695</c:v>
                </c:pt>
                <c:pt idx="29">
                  <c:v>123.96304052615456</c:v>
                </c:pt>
                <c:pt idx="30">
                  <c:v>123.48154130887309</c:v>
                </c:pt>
                <c:pt idx="31">
                  <c:v>120.05458250889974</c:v>
                </c:pt>
                <c:pt idx="32">
                  <c:v>118.86663050734784</c:v>
                </c:pt>
                <c:pt idx="33">
                  <c:v>117.26663413417452</c:v>
                </c:pt>
                <c:pt idx="34">
                  <c:v>116.74485073938139</c:v>
                </c:pt>
                <c:pt idx="35">
                  <c:v>116.33730309450593</c:v>
                </c:pt>
                <c:pt idx="36">
                  <c:v>113.44593001788608</c:v>
                </c:pt>
                <c:pt idx="37">
                  <c:v>117.27581949610251</c:v>
                </c:pt>
                <c:pt idx="38">
                  <c:v>119.75031992615099</c:v>
                </c:pt>
                <c:pt idx="39">
                  <c:v>121.48038681281787</c:v>
                </c:pt>
                <c:pt idx="40">
                  <c:v>121.5856216115784</c:v>
                </c:pt>
                <c:pt idx="41">
                  <c:v>123.05145429908198</c:v>
                </c:pt>
                <c:pt idx="42">
                  <c:v>125.05488763799472</c:v>
                </c:pt>
                <c:pt idx="43">
                  <c:v>127.15795369186081</c:v>
                </c:pt>
                <c:pt idx="44">
                  <c:v>124.93337931709965</c:v>
                </c:pt>
                <c:pt idx="45">
                  <c:v>124.25430937292498</c:v>
                </c:pt>
                <c:pt idx="46">
                  <c:v>123.73367215269172</c:v>
                </c:pt>
                <c:pt idx="47">
                  <c:v>124.61262019409858</c:v>
                </c:pt>
                <c:pt idx="48">
                  <c:v>121.57152488319005</c:v>
                </c:pt>
                <c:pt idx="49">
                  <c:v>121.76938803207334</c:v>
                </c:pt>
                <c:pt idx="50">
                  <c:v>123.2848902886396</c:v>
                </c:pt>
                <c:pt idx="51">
                  <c:v>126.75367942323672</c:v>
                </c:pt>
                <c:pt idx="52">
                  <c:v>127.91926646470459</c:v>
                </c:pt>
                <c:pt idx="53">
                  <c:v>131.2580794217503</c:v>
                </c:pt>
                <c:pt idx="54">
                  <c:v>131.98527051693949</c:v>
                </c:pt>
                <c:pt idx="55">
                  <c:v>133.21603395432908</c:v>
                </c:pt>
                <c:pt idx="56">
                  <c:v>133.27378538398656</c:v>
                </c:pt>
                <c:pt idx="57">
                  <c:v>130.24181714659895</c:v>
                </c:pt>
                <c:pt idx="58">
                  <c:v>130.77484962158147</c:v>
                </c:pt>
                <c:pt idx="59">
                  <c:v>130.01797801895364</c:v>
                </c:pt>
              </c:numCache>
            </c:numRef>
          </c:val>
          <c:smooth val="0"/>
          <c:extLst>
            <c:ext xmlns:c16="http://schemas.microsoft.com/office/drawing/2014/chart" uri="{C3380CC4-5D6E-409C-BE32-E72D297353CC}">
              <c16:uniqueId val="{00000000-C5B5-4DDD-A118-94EB81F0D53D}"/>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Sheet1!$E$2:$E$85</c:f>
              <c:numCache>
                <c:formatCode>0.0</c:formatCode>
                <c:ptCount val="60"/>
                <c:pt idx="0">
                  <c:v>100</c:v>
                </c:pt>
                <c:pt idx="1">
                  <c:v>101.64273891486673</c:v>
                </c:pt>
                <c:pt idx="2">
                  <c:v>105.58495612795397</c:v>
                </c:pt>
                <c:pt idx="3">
                  <c:v>107.06387944116454</c:v>
                </c:pt>
                <c:pt idx="4">
                  <c:v>108.88531863009895</c:v>
                </c:pt>
                <c:pt idx="5">
                  <c:v>107.79062656606114</c:v>
                </c:pt>
                <c:pt idx="6">
                  <c:v>104.92855602247278</c:v>
                </c:pt>
                <c:pt idx="7">
                  <c:v>104.41775523107961</c:v>
                </c:pt>
                <c:pt idx="8">
                  <c:v>106.18837897378687</c:v>
                </c:pt>
                <c:pt idx="9">
                  <c:v>109.18048429815342</c:v>
                </c:pt>
                <c:pt idx="10">
                  <c:v>113.24889939921093</c:v>
                </c:pt>
                <c:pt idx="11">
                  <c:v>115.92515604354938</c:v>
                </c:pt>
                <c:pt idx="12">
                  <c:v>119.2238364274347</c:v>
                </c:pt>
                <c:pt idx="13">
                  <c:v>127.22134482994369</c:v>
                </c:pt>
                <c:pt idx="14">
                  <c:v>131.08807666689253</c:v>
                </c:pt>
                <c:pt idx="15">
                  <c:v>131.85941661443854</c:v>
                </c:pt>
                <c:pt idx="16">
                  <c:v>129.60200965576385</c:v>
                </c:pt>
                <c:pt idx="17">
                  <c:v>134.99885938823923</c:v>
                </c:pt>
                <c:pt idx="18">
                  <c:v>131.65819367584234</c:v>
                </c:pt>
                <c:pt idx="19">
                  <c:v>128.85917468927303</c:v>
                </c:pt>
                <c:pt idx="20">
                  <c:v>128.26762414660212</c:v>
                </c:pt>
                <c:pt idx="21">
                  <c:v>125.17475770402849</c:v>
                </c:pt>
                <c:pt idx="22">
                  <c:v>123.49598928852923</c:v>
                </c:pt>
                <c:pt idx="23">
                  <c:v>124.2012247770072</c:v>
                </c:pt>
                <c:pt idx="24">
                  <c:v>130.10811877080079</c:v>
                </c:pt>
                <c:pt idx="25">
                  <c:v>124.64268774226933</c:v>
                </c:pt>
                <c:pt idx="26">
                  <c:v>121.61086752470911</c:v>
                </c:pt>
                <c:pt idx="27">
                  <c:v>116.19169458963243</c:v>
                </c:pt>
                <c:pt idx="28">
                  <c:v>109.40830942201994</c:v>
                </c:pt>
                <c:pt idx="29">
                  <c:v>107.76022385992577</c:v>
                </c:pt>
                <c:pt idx="30">
                  <c:v>107.07049500911933</c:v>
                </c:pt>
                <c:pt idx="31">
                  <c:v>102.78924512744334</c:v>
                </c:pt>
                <c:pt idx="32">
                  <c:v>100.64687391581896</c:v>
                </c:pt>
                <c:pt idx="33">
                  <c:v>102.98970627781873</c:v>
                </c:pt>
                <c:pt idx="34">
                  <c:v>104.68306984374605</c:v>
                </c:pt>
                <c:pt idx="35">
                  <c:v>106.69517773214783</c:v>
                </c:pt>
                <c:pt idx="36">
                  <c:v>106.68875740565517</c:v>
                </c:pt>
                <c:pt idx="37">
                  <c:v>108.49442200190963</c:v>
                </c:pt>
                <c:pt idx="38">
                  <c:v>111.49920020972681</c:v>
                </c:pt>
                <c:pt idx="39">
                  <c:v>111.25359101898272</c:v>
                </c:pt>
                <c:pt idx="40">
                  <c:v>113.51116336896827</c:v>
                </c:pt>
                <c:pt idx="41">
                  <c:v>114.93215908487097</c:v>
                </c:pt>
                <c:pt idx="42">
                  <c:v>114.94194582515819</c:v>
                </c:pt>
                <c:pt idx="43">
                  <c:v>118.02221533592136</c:v>
                </c:pt>
                <c:pt idx="44">
                  <c:v>122.71745869383329</c:v>
                </c:pt>
                <c:pt idx="45">
                  <c:v>124.95216192280957</c:v>
                </c:pt>
                <c:pt idx="46">
                  <c:v>125.83619810078092</c:v>
                </c:pt>
                <c:pt idx="47">
                  <c:v>127.56257702674438</c:v>
                </c:pt>
                <c:pt idx="48">
                  <c:v>128.59691261047254</c:v>
                </c:pt>
                <c:pt idx="49">
                  <c:v>132.75628020244594</c:v>
                </c:pt>
                <c:pt idx="50">
                  <c:v>133.69992122052153</c:v>
                </c:pt>
                <c:pt idx="51">
                  <c:v>136.38308045747132</c:v>
                </c:pt>
                <c:pt idx="52">
                  <c:v>138.09493962964945</c:v>
                </c:pt>
                <c:pt idx="53">
                  <c:v>139.77731076858186</c:v>
                </c:pt>
                <c:pt idx="54">
                  <c:v>138.93425916050504</c:v>
                </c:pt>
                <c:pt idx="55">
                  <c:v>136.85990631627223</c:v>
                </c:pt>
                <c:pt idx="56">
                  <c:v>132.35809237424368</c:v>
                </c:pt>
                <c:pt idx="57">
                  <c:v>127.40163002838277</c:v>
                </c:pt>
                <c:pt idx="58">
                  <c:v>122.46704365933206</c:v>
                </c:pt>
                <c:pt idx="59">
                  <c:v>115.20149223910413</c:v>
                </c:pt>
              </c:numCache>
            </c:numRef>
          </c:val>
          <c:smooth val="0"/>
          <c:extLst>
            <c:ext xmlns:c16="http://schemas.microsoft.com/office/drawing/2014/chart" uri="{C3380CC4-5D6E-409C-BE32-E72D297353CC}">
              <c16:uniqueId val="{00000001-C5B5-4DDD-A118-94EB81F0D53D}"/>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Sheet1!$F$2:$F$85</c:f>
              <c:numCache>
                <c:formatCode>0.0</c:formatCode>
                <c:ptCount val="60"/>
                <c:pt idx="0">
                  <c:v>100</c:v>
                </c:pt>
                <c:pt idx="1">
                  <c:v>100.91015738621823</c:v>
                </c:pt>
                <c:pt idx="2">
                  <c:v>99.119256019959749</c:v>
                </c:pt>
                <c:pt idx="3">
                  <c:v>100.9530168212633</c:v>
                </c:pt>
                <c:pt idx="4">
                  <c:v>106.94826008137622</c:v>
                </c:pt>
                <c:pt idx="5">
                  <c:v>104.24385713360751</c:v>
                </c:pt>
                <c:pt idx="6">
                  <c:v>100.99807820886015</c:v>
                </c:pt>
                <c:pt idx="7">
                  <c:v>104.30275635012508</c:v>
                </c:pt>
                <c:pt idx="8">
                  <c:v>106.26157796130168</c:v>
                </c:pt>
                <c:pt idx="9">
                  <c:v>109.70596653641601</c:v>
                </c:pt>
                <c:pt idx="10">
                  <c:v>113.14728327499044</c:v>
                </c:pt>
                <c:pt idx="11">
                  <c:v>112.38752558227628</c:v>
                </c:pt>
                <c:pt idx="12">
                  <c:v>112.50963499838058</c:v>
                </c:pt>
                <c:pt idx="13">
                  <c:v>116.21107434270907</c:v>
                </c:pt>
                <c:pt idx="14">
                  <c:v>136.09477757698352</c:v>
                </c:pt>
                <c:pt idx="15">
                  <c:v>135.73114127623273</c:v>
                </c:pt>
                <c:pt idx="16">
                  <c:v>138.806151708811</c:v>
                </c:pt>
                <c:pt idx="17">
                  <c:v>133.05923036215873</c:v>
                </c:pt>
                <c:pt idx="18">
                  <c:v>117.79645695381711</c:v>
                </c:pt>
                <c:pt idx="19">
                  <c:v>116.45166440153038</c:v>
                </c:pt>
                <c:pt idx="20">
                  <c:v>118.32316127837119</c:v>
                </c:pt>
                <c:pt idx="21">
                  <c:v>121.81617670458904</c:v>
                </c:pt>
                <c:pt idx="22">
                  <c:v>120.07786042485084</c:v>
                </c:pt>
                <c:pt idx="23">
                  <c:v>117.7943390781662</c:v>
                </c:pt>
                <c:pt idx="24">
                  <c:v>117.98484214620264</c:v>
                </c:pt>
                <c:pt idx="25">
                  <c:v>117.36382888185929</c:v>
                </c:pt>
                <c:pt idx="26">
                  <c:v>110.83513313451802</c:v>
                </c:pt>
                <c:pt idx="27">
                  <c:v>108.90434996056221</c:v>
                </c:pt>
                <c:pt idx="28">
                  <c:v>103.40918285307107</c:v>
                </c:pt>
                <c:pt idx="29">
                  <c:v>101.27433470487856</c:v>
                </c:pt>
                <c:pt idx="30">
                  <c:v>100.68043483085947</c:v>
                </c:pt>
                <c:pt idx="31">
                  <c:v>99.986931772581727</c:v>
                </c:pt>
                <c:pt idx="32">
                  <c:v>101.0264687037545</c:v>
                </c:pt>
                <c:pt idx="33">
                  <c:v>99.808897106491557</c:v>
                </c:pt>
                <c:pt idx="34">
                  <c:v>96.826791889303166</c:v>
                </c:pt>
                <c:pt idx="35">
                  <c:v>98.233609478234513</c:v>
                </c:pt>
                <c:pt idx="36">
                  <c:v>95.910763781931593</c:v>
                </c:pt>
                <c:pt idx="37">
                  <c:v>91.068634652293213</c:v>
                </c:pt>
                <c:pt idx="38">
                  <c:v>88.707840193208753</c:v>
                </c:pt>
                <c:pt idx="39">
                  <c:v>89.286126156561821</c:v>
                </c:pt>
                <c:pt idx="40">
                  <c:v>94.932679438987947</c:v>
                </c:pt>
                <c:pt idx="41">
                  <c:v>92.125122815100212</c:v>
                </c:pt>
                <c:pt idx="42">
                  <c:v>88.539552690094908</c:v>
                </c:pt>
                <c:pt idx="43">
                  <c:v>88.115955134928583</c:v>
                </c:pt>
                <c:pt idx="44">
                  <c:v>90.836694112728992</c:v>
                </c:pt>
                <c:pt idx="45">
                  <c:v>91.550666143489721</c:v>
                </c:pt>
                <c:pt idx="46">
                  <c:v>89.124046988578286</c:v>
                </c:pt>
                <c:pt idx="47">
                  <c:v>89.097649588471796</c:v>
                </c:pt>
                <c:pt idx="48">
                  <c:v>89.472834285862575</c:v>
                </c:pt>
                <c:pt idx="49">
                  <c:v>90.080608469547855</c:v>
                </c:pt>
                <c:pt idx="50">
                  <c:v>87.748257525419106</c:v>
                </c:pt>
                <c:pt idx="51">
                  <c:v>88.721900526410309</c:v>
                </c:pt>
                <c:pt idx="52">
                  <c:v>87.167565841773381</c:v>
                </c:pt>
                <c:pt idx="53">
                  <c:v>85.807347560947647</c:v>
                </c:pt>
                <c:pt idx="54">
                  <c:v>85.157622397462518</c:v>
                </c:pt>
                <c:pt idx="55">
                  <c:v>84.514498450289224</c:v>
                </c:pt>
                <c:pt idx="56">
                  <c:v>83.939496652223724</c:v>
                </c:pt>
                <c:pt idx="57">
                  <c:v>82.864198776681064</c:v>
                </c:pt>
                <c:pt idx="58">
                  <c:v>84.388396318391912</c:v>
                </c:pt>
                <c:pt idx="59">
                  <c:v>85.808608372527331</c:v>
                </c:pt>
              </c:numCache>
            </c:numRef>
          </c:val>
          <c:smooth val="0"/>
          <c:extLst>
            <c:ext xmlns:c16="http://schemas.microsoft.com/office/drawing/2014/chart" uri="{C3380CC4-5D6E-409C-BE32-E72D297353CC}">
              <c16:uniqueId val="{00000002-C5B5-4DDD-A118-94EB81F0D53D}"/>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Sheet1!$G$2:$G$85</c:f>
              <c:numCache>
                <c:formatCode>0.0</c:formatCode>
                <c:ptCount val="60"/>
                <c:pt idx="0">
                  <c:v>100</c:v>
                </c:pt>
                <c:pt idx="1">
                  <c:v>106.18395808409862</c:v>
                </c:pt>
                <c:pt idx="2">
                  <c:v>114.70930000727419</c:v>
                </c:pt>
                <c:pt idx="3">
                  <c:v>116.78982536901292</c:v>
                </c:pt>
                <c:pt idx="4">
                  <c:v>125.92367374924066</c:v>
                </c:pt>
                <c:pt idx="5">
                  <c:v>113.54171158313332</c:v>
                </c:pt>
                <c:pt idx="6">
                  <c:v>111.96834881983933</c:v>
                </c:pt>
                <c:pt idx="7">
                  <c:v>119.43319421276669</c:v>
                </c:pt>
                <c:pt idx="8">
                  <c:v>121.38356384029809</c:v>
                </c:pt>
                <c:pt idx="9">
                  <c:v>133.09673144910369</c:v>
                </c:pt>
                <c:pt idx="10">
                  <c:v>132.89345976612177</c:v>
                </c:pt>
                <c:pt idx="11">
                  <c:v>128.53719916393652</c:v>
                </c:pt>
                <c:pt idx="12">
                  <c:v>133.88447162754244</c:v>
                </c:pt>
                <c:pt idx="13">
                  <c:v>145.25173428293499</c:v>
                </c:pt>
                <c:pt idx="14">
                  <c:v>181.33725206614429</c:v>
                </c:pt>
                <c:pt idx="15">
                  <c:v>171.04052258732773</c:v>
                </c:pt>
                <c:pt idx="16">
                  <c:v>165.07050765473232</c:v>
                </c:pt>
                <c:pt idx="17">
                  <c:v>152.50828910653169</c:v>
                </c:pt>
                <c:pt idx="18">
                  <c:v>121.56326595239767</c:v>
                </c:pt>
                <c:pt idx="19">
                  <c:v>117.60510174296299</c:v>
                </c:pt>
                <c:pt idx="20">
                  <c:v>109.86375654585686</c:v>
                </c:pt>
                <c:pt idx="21">
                  <c:v>108.93643639776633</c:v>
                </c:pt>
                <c:pt idx="22">
                  <c:v>111.40063429420184</c:v>
                </c:pt>
                <c:pt idx="23">
                  <c:v>104.12297349199346</c:v>
                </c:pt>
                <c:pt idx="24">
                  <c:v>101.10701258679502</c:v>
                </c:pt>
                <c:pt idx="25">
                  <c:v>97.835894450962343</c:v>
                </c:pt>
                <c:pt idx="26">
                  <c:v>94.896199190724516</c:v>
                </c:pt>
                <c:pt idx="27">
                  <c:v>93.63129199685369</c:v>
                </c:pt>
                <c:pt idx="28">
                  <c:v>85.460172270690109</c:v>
                </c:pt>
                <c:pt idx="29">
                  <c:v>83.377196753554912</c:v>
                </c:pt>
                <c:pt idx="30">
                  <c:v>93.469996144955303</c:v>
                </c:pt>
                <c:pt idx="31">
                  <c:v>90.601093508517053</c:v>
                </c:pt>
                <c:pt idx="32">
                  <c:v>87.032651873869767</c:v>
                </c:pt>
                <c:pt idx="33">
                  <c:v>86.415012356990374</c:v>
                </c:pt>
                <c:pt idx="34">
                  <c:v>89.377644839720631</c:v>
                </c:pt>
                <c:pt idx="35">
                  <c:v>88.066674264491041</c:v>
                </c:pt>
                <c:pt idx="36">
                  <c:v>88.188546587196782</c:v>
                </c:pt>
                <c:pt idx="37">
                  <c:v>87.03658989316358</c:v>
                </c:pt>
                <c:pt idx="38">
                  <c:v>94.012009954710294</c:v>
                </c:pt>
                <c:pt idx="39">
                  <c:v>94.256651245518086</c:v>
                </c:pt>
                <c:pt idx="40">
                  <c:v>92.041023181312724</c:v>
                </c:pt>
                <c:pt idx="41">
                  <c:v>94.91386402032164</c:v>
                </c:pt>
                <c:pt idx="42">
                  <c:v>97.210453561235241</c:v>
                </c:pt>
                <c:pt idx="43">
                  <c:v>98.019604670864993</c:v>
                </c:pt>
                <c:pt idx="44">
                  <c:v>102.51105061929975</c:v>
                </c:pt>
                <c:pt idx="45">
                  <c:v>109.96737745158505</c:v>
                </c:pt>
                <c:pt idx="46">
                  <c:v>118.16692735400703</c:v>
                </c:pt>
                <c:pt idx="47">
                  <c:v>116.71042177739518</c:v>
                </c:pt>
                <c:pt idx="48">
                  <c:v>110.19156660218589</c:v>
                </c:pt>
                <c:pt idx="49">
                  <c:v>112.32513201553608</c:v>
                </c:pt>
                <c:pt idx="50">
                  <c:v>116.47410377946453</c:v>
                </c:pt>
                <c:pt idx="51">
                  <c:v>113.78588604114532</c:v>
                </c:pt>
                <c:pt idx="52">
                  <c:v>109.6233885677994</c:v>
                </c:pt>
                <c:pt idx="53">
                  <c:v>112.14339790922565</c:v>
                </c:pt>
                <c:pt idx="54">
                  <c:v>120.12076966479418</c:v>
                </c:pt>
                <c:pt idx="55">
                  <c:v>121.79428748917114</c:v>
                </c:pt>
                <c:pt idx="56">
                  <c:v>120.91984851345504</c:v>
                </c:pt>
                <c:pt idx="57">
                  <c:v>121.97281152518372</c:v>
                </c:pt>
                <c:pt idx="58">
                  <c:v>118.81699915865791</c:v>
                </c:pt>
                <c:pt idx="59">
                  <c:v>118.95902331336021</c:v>
                </c:pt>
              </c:numCache>
            </c:numRef>
          </c:val>
          <c:smooth val="0"/>
          <c:extLst>
            <c:ext xmlns:c16="http://schemas.microsoft.com/office/drawing/2014/chart" uri="{C3380CC4-5D6E-409C-BE32-E72D297353CC}">
              <c16:uniqueId val="{00000003-C5B5-4DDD-A118-94EB81F0D53D}"/>
            </c:ext>
          </c:extLst>
        </c:ser>
        <c:ser>
          <c:idx val="4"/>
          <c:order val="4"/>
          <c:tx>
            <c:strRef>
              <c:f>Sheet1!$H$1</c:f>
              <c:strCache>
                <c:ptCount val="1"/>
                <c:pt idx="0">
                  <c:v>Շաքարավազ</c:v>
                </c:pt>
              </c:strCache>
            </c:strRef>
          </c:tx>
          <c:spPr>
            <a:ln w="12700" cap="rnd">
              <a:solidFill>
                <a:schemeClr val="accent2">
                  <a:lumMod val="60000"/>
                  <a:lumOff val="40000"/>
                </a:schemeClr>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Sheet1!$H$2:$H$85</c:f>
              <c:numCache>
                <c:formatCode>0.0</c:formatCode>
                <c:ptCount val="60"/>
                <c:pt idx="0">
                  <c:v>100</c:v>
                </c:pt>
                <c:pt idx="1">
                  <c:v>106.38843246795926</c:v>
                </c:pt>
                <c:pt idx="2">
                  <c:v>102.16462586977957</c:v>
                </c:pt>
                <c:pt idx="3">
                  <c:v>106.18906780589333</c:v>
                </c:pt>
                <c:pt idx="4">
                  <c:v>113.42425238251728</c:v>
                </c:pt>
                <c:pt idx="5">
                  <c:v>114.41460281420848</c:v>
                </c:pt>
                <c:pt idx="6">
                  <c:v>116.34750395841429</c:v>
                </c:pt>
                <c:pt idx="7">
                  <c:v>128.01959788486243</c:v>
                </c:pt>
                <c:pt idx="8">
                  <c:v>128.70671884802681</c:v>
                </c:pt>
                <c:pt idx="9">
                  <c:v>126.45102733830969</c:v>
                </c:pt>
                <c:pt idx="10">
                  <c:v>127.64018761389781</c:v>
                </c:pt>
                <c:pt idx="11">
                  <c:v>123.65488602754466</c:v>
                </c:pt>
                <c:pt idx="12">
                  <c:v>119.65635416177651</c:v>
                </c:pt>
                <c:pt idx="13">
                  <c:v>117.38744659875128</c:v>
                </c:pt>
                <c:pt idx="14">
                  <c:v>125.22825015359562</c:v>
                </c:pt>
                <c:pt idx="15">
                  <c:v>129.08314163654296</c:v>
                </c:pt>
                <c:pt idx="16">
                  <c:v>127.8552863501928</c:v>
                </c:pt>
                <c:pt idx="17">
                  <c:v>124.56009320945248</c:v>
                </c:pt>
                <c:pt idx="18">
                  <c:v>119.84100902931013</c:v>
                </c:pt>
                <c:pt idx="19">
                  <c:v>117.32700852991189</c:v>
                </c:pt>
                <c:pt idx="20">
                  <c:v>116.47895318615011</c:v>
                </c:pt>
                <c:pt idx="21">
                  <c:v>115.31539990297803</c:v>
                </c:pt>
                <c:pt idx="22">
                  <c:v>121.48896125235274</c:v>
                </c:pt>
                <c:pt idx="23">
                  <c:v>124.44486174358019</c:v>
                </c:pt>
                <c:pt idx="24">
                  <c:v>124.03173559926773</c:v>
                </c:pt>
                <c:pt idx="25">
                  <c:v>132.93460400920151</c:v>
                </c:pt>
                <c:pt idx="26">
                  <c:v>134.87262284073219</c:v>
                </c:pt>
                <c:pt idx="27">
                  <c:v>158.66613625750216</c:v>
                </c:pt>
                <c:pt idx="28">
                  <c:v>166.96441908403796</c:v>
                </c:pt>
                <c:pt idx="29">
                  <c:v>161.59591312401051</c:v>
                </c:pt>
                <c:pt idx="30">
                  <c:v>155.40428461887558</c:v>
                </c:pt>
                <c:pt idx="31">
                  <c:v>157.38758947834668</c:v>
                </c:pt>
                <c:pt idx="32">
                  <c:v>172.80565857627971</c:v>
                </c:pt>
                <c:pt idx="33">
                  <c:v>169.0556567980164</c:v>
                </c:pt>
                <c:pt idx="34">
                  <c:v>171.4038180025693</c:v>
                </c:pt>
                <c:pt idx="35">
                  <c:v>142.55997371015454</c:v>
                </c:pt>
                <c:pt idx="36">
                  <c:v>144.86003644728598</c:v>
                </c:pt>
                <c:pt idx="37">
                  <c:v>149.50158834483523</c:v>
                </c:pt>
                <c:pt idx="38">
                  <c:v>141.62997042392388</c:v>
                </c:pt>
                <c:pt idx="39">
                  <c:v>134.46957249126169</c:v>
                </c:pt>
                <c:pt idx="40">
                  <c:v>124.36889433274585</c:v>
                </c:pt>
                <c:pt idx="41">
                  <c:v>126.76634899769971</c:v>
                </c:pt>
                <c:pt idx="42">
                  <c:v>126.95137807369734</c:v>
                </c:pt>
                <c:pt idx="43">
                  <c:v>120.92731455202708</c:v>
                </c:pt>
                <c:pt idx="44">
                  <c:v>134.0876015210554</c:v>
                </c:pt>
                <c:pt idx="45">
                  <c:v>137.60162311220341</c:v>
                </c:pt>
                <c:pt idx="46">
                  <c:v>134.28164561914159</c:v>
                </c:pt>
                <c:pt idx="47">
                  <c:v>126.68575810212359</c:v>
                </c:pt>
                <c:pt idx="48">
                  <c:v>118.10115615570768</c:v>
                </c:pt>
                <c:pt idx="49">
                  <c:v>125.89549786395015</c:v>
                </c:pt>
                <c:pt idx="50">
                  <c:v>124.14753610941592</c:v>
                </c:pt>
                <c:pt idx="51">
                  <c:v>119.27452545263924</c:v>
                </c:pt>
                <c:pt idx="52">
                  <c:v>116.22202969557563</c:v>
                </c:pt>
                <c:pt idx="53">
                  <c:v>109.9823169491261</c:v>
                </c:pt>
                <c:pt idx="54">
                  <c:v>109.76010515938228</c:v>
                </c:pt>
                <c:pt idx="55">
                  <c:v>110.02613335837135</c:v>
                </c:pt>
                <c:pt idx="56">
                  <c:v>105.55701610253047</c:v>
                </c:pt>
                <c:pt idx="57">
                  <c:v>99.955707325436961</c:v>
                </c:pt>
                <c:pt idx="58">
                  <c:v>94.078212290502933</c:v>
                </c:pt>
                <c:pt idx="59">
                  <c:v>96.328384070743667</c:v>
                </c:pt>
              </c:numCache>
            </c:numRef>
          </c:val>
          <c:smooth val="0"/>
          <c:extLst>
            <c:ext xmlns:c16="http://schemas.microsoft.com/office/drawing/2014/chart" uri="{C3380CC4-5D6E-409C-BE32-E72D297353CC}">
              <c16:uniqueId val="{00000004-C5B5-4DDD-A118-94EB81F0D53D}"/>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Sheet1!$C$2:$C$85</c:f>
              <c:numCache>
                <c:formatCode>0.0</c:formatCode>
                <c:ptCount val="60"/>
                <c:pt idx="0">
                  <c:v>100</c:v>
                </c:pt>
                <c:pt idx="1">
                  <c:v>102.68219619200724</c:v>
                </c:pt>
                <c:pt idx="2">
                  <c:v>105.02424106718061</c:v>
                </c:pt>
                <c:pt idx="3">
                  <c:v>107.52318530237835</c:v>
                </c:pt>
                <c:pt idx="4">
                  <c:v>112.86056541861463</c:v>
                </c:pt>
                <c:pt idx="5">
                  <c:v>110.35194553294677</c:v>
                </c:pt>
                <c:pt idx="6">
                  <c:v>109.72409013880542</c:v>
                </c:pt>
                <c:pt idx="7">
                  <c:v>112.71308956240662</c:v>
                </c:pt>
                <c:pt idx="8">
                  <c:v>113.79747678025926</c:v>
                </c:pt>
                <c:pt idx="9">
                  <c:v>117.35189854144932</c:v>
                </c:pt>
                <c:pt idx="10">
                  <c:v>119.19332074308417</c:v>
                </c:pt>
                <c:pt idx="11">
                  <c:v>117.76302593110195</c:v>
                </c:pt>
                <c:pt idx="12">
                  <c:v>119.43934631625504</c:v>
                </c:pt>
                <c:pt idx="13">
                  <c:v>124.40853223326837</c:v>
                </c:pt>
                <c:pt idx="14">
                  <c:v>140.68480941630634</c:v>
                </c:pt>
                <c:pt idx="15">
                  <c:v>139.55894903122436</c:v>
                </c:pt>
                <c:pt idx="16">
                  <c:v>139.22227476774796</c:v>
                </c:pt>
                <c:pt idx="17">
                  <c:v>136.276139273246</c:v>
                </c:pt>
                <c:pt idx="18">
                  <c:v>123.82448965179577</c:v>
                </c:pt>
                <c:pt idx="19">
                  <c:v>121.18820073310677</c:v>
                </c:pt>
                <c:pt idx="20">
                  <c:v>119.83361645016161</c:v>
                </c:pt>
                <c:pt idx="21">
                  <c:v>119.24936067152301</c:v>
                </c:pt>
                <c:pt idx="22">
                  <c:v>118.68477824714381</c:v>
                </c:pt>
                <c:pt idx="23">
                  <c:v>116.0924546401575</c:v>
                </c:pt>
                <c:pt idx="24">
                  <c:v>115.95137732309432</c:v>
                </c:pt>
                <c:pt idx="25">
                  <c:v>115.49916963899291</c:v>
                </c:pt>
                <c:pt idx="26">
                  <c:v>112.92358154511801</c:v>
                </c:pt>
                <c:pt idx="27">
                  <c:v>113.33282976682888</c:v>
                </c:pt>
                <c:pt idx="28">
                  <c:v>109.84144705443352</c:v>
                </c:pt>
                <c:pt idx="29">
                  <c:v>108.4489998408271</c:v>
                </c:pt>
                <c:pt idx="30">
                  <c:v>109.72425763701439</c:v>
                </c:pt>
                <c:pt idx="31">
                  <c:v>107.48087117825382</c:v>
                </c:pt>
                <c:pt idx="32">
                  <c:v>107.35983662513388</c:v>
                </c:pt>
                <c:pt idx="33">
                  <c:v>106.49794890403425</c:v>
                </c:pt>
                <c:pt idx="34">
                  <c:v>106.37722284953686</c:v>
                </c:pt>
                <c:pt idx="35">
                  <c:v>105.02588896503536</c:v>
                </c:pt>
                <c:pt idx="36">
                  <c:v>103.63152133654404</c:v>
                </c:pt>
                <c:pt idx="37">
                  <c:v>103.45576568389532</c:v>
                </c:pt>
                <c:pt idx="38">
                  <c:v>104.77532324531074</c:v>
                </c:pt>
                <c:pt idx="39">
                  <c:v>105.04228710957658</c:v>
                </c:pt>
                <c:pt idx="40">
                  <c:v>106.13397244520749</c:v>
                </c:pt>
                <c:pt idx="41">
                  <c:v>106.57573397908608</c:v>
                </c:pt>
                <c:pt idx="42">
                  <c:v>106.47987037740302</c:v>
                </c:pt>
                <c:pt idx="43">
                  <c:v>107.17247829332415</c:v>
                </c:pt>
                <c:pt idx="44">
                  <c:v>109.74594818883939</c:v>
                </c:pt>
                <c:pt idx="45">
                  <c:v>111.81610509559945</c:v>
                </c:pt>
                <c:pt idx="46">
                  <c:v>112.49626820452788</c:v>
                </c:pt>
                <c:pt idx="47">
                  <c:v>112.22989652894206</c:v>
                </c:pt>
                <c:pt idx="48">
                  <c:v>109.80154025229322</c:v>
                </c:pt>
                <c:pt idx="49">
                  <c:v>111.51549448904068</c:v>
                </c:pt>
                <c:pt idx="50">
                  <c:v>112.07361544293555</c:v>
                </c:pt>
                <c:pt idx="51">
                  <c:v>112.89515415411825</c:v>
                </c:pt>
                <c:pt idx="52">
                  <c:v>111.93634894930888</c:v>
                </c:pt>
                <c:pt idx="53">
                  <c:v>112.82299529701463</c:v>
                </c:pt>
                <c:pt idx="54">
                  <c:v>114.31893353856846</c:v>
                </c:pt>
                <c:pt idx="55">
                  <c:v>114.53255941540473</c:v>
                </c:pt>
                <c:pt idx="56">
                  <c:v>113.30593499896082</c:v>
                </c:pt>
                <c:pt idx="57">
                  <c:v>111.31392826954838</c:v>
                </c:pt>
                <c:pt idx="58">
                  <c:v>110.28154992292444</c:v>
                </c:pt>
                <c:pt idx="59">
                  <c:v>109.68187586948535</c:v>
                </c:pt>
              </c:numCache>
            </c:numRef>
          </c:val>
          <c:smooth val="0"/>
          <c:extLst>
            <c:ext xmlns:c16="http://schemas.microsoft.com/office/drawing/2014/chart" uri="{C3380CC4-5D6E-409C-BE32-E72D297353CC}">
              <c16:uniqueId val="{00000005-C5B5-4DDD-A118-94EB81F0D53D}"/>
            </c:ext>
          </c:extLst>
        </c:ser>
        <c:dLbls>
          <c:showLegendKey val="0"/>
          <c:showVal val="0"/>
          <c:showCatName val="0"/>
          <c:showSerName val="0"/>
          <c:showPercent val="0"/>
          <c:showBubbleSize val="0"/>
        </c:dLbls>
        <c:smooth val="0"/>
        <c:axId val="1913053904"/>
        <c:axId val="1909633744"/>
      </c:lineChart>
      <c:catAx>
        <c:axId val="1913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09633744"/>
        <c:crosses val="autoZero"/>
        <c:auto val="1"/>
        <c:lblAlgn val="ctr"/>
        <c:lblOffset val="0"/>
        <c:noMultiLvlLbl val="0"/>
      </c:catAx>
      <c:valAx>
        <c:axId val="1909633744"/>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a:t>
                </a:r>
                <a:r>
                  <a:rPr lang="en-US" sz="900" dirty="0">
                    <a:latin typeface="GHEA Grapalat" panose="02000506050000020003" pitchFamily="50" charset="0"/>
                  </a:rPr>
                  <a:t>21</a:t>
                </a:r>
                <a:r>
                  <a:rPr lang="hy-AM" sz="900" dirty="0">
                    <a:latin typeface="GHEA Grapalat" panose="02000506050000020003" pitchFamily="50" charset="0"/>
                  </a:rPr>
                  <a:t>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3904"/>
        <c:crosses val="autoZero"/>
        <c:crossBetween val="between"/>
      </c:valAx>
      <c:spPr>
        <a:noFill/>
        <a:ln w="25400">
          <a:noFill/>
        </a:ln>
        <a:effectLst/>
      </c:spPr>
    </c:plotArea>
    <c:legend>
      <c:legendPos val="b"/>
      <c:layout>
        <c:manualLayout>
          <c:xMode val="edge"/>
          <c:yMode val="edge"/>
          <c:x val="0"/>
          <c:y val="0.83821147356580428"/>
          <c:w val="1"/>
          <c:h val="0.161788526434195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51929731380542"/>
        </c:manualLayout>
      </c:layout>
      <c:barChart>
        <c:barDir val="col"/>
        <c:grouping val="stacked"/>
        <c:varyColors val="0"/>
        <c:ser>
          <c:idx val="1"/>
          <c:order val="1"/>
          <c:tx>
            <c:strRef>
              <c:f>Sheet1!$C$1</c:f>
              <c:strCache>
                <c:ptCount val="1"/>
                <c:pt idx="0">
                  <c:v>Զուտ անուղղակի հարկ</c:v>
                </c:pt>
              </c:strCache>
            </c:strRef>
          </c:tx>
          <c:spPr>
            <a:solidFill>
              <a:srgbClr val="4F81BD">
                <a:lumMod val="60000"/>
                <a:lumOff val="40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0.80838605655436402</c:v>
                </c:pt>
                <c:pt idx="1">
                  <c:v>0.89062048219318746</c:v>
                </c:pt>
                <c:pt idx="2">
                  <c:v>1.137161720945604</c:v>
                </c:pt>
                <c:pt idx="3">
                  <c:v>-0.17273019025993358</c:v>
                </c:pt>
                <c:pt idx="4">
                  <c:v>1.0358759082608662</c:v>
                </c:pt>
              </c:numCache>
            </c:numRef>
          </c:val>
          <c:extLst>
            <c:ext xmlns:c16="http://schemas.microsoft.com/office/drawing/2014/chart" uri="{C3380CC4-5D6E-409C-BE32-E72D297353CC}">
              <c16:uniqueId val="{00000000-AF50-42E7-BC4F-C137E6F78919}"/>
            </c:ext>
          </c:extLst>
        </c:ser>
        <c:ser>
          <c:idx val="2"/>
          <c:order val="2"/>
          <c:tx>
            <c:strRef>
              <c:f>Sheet1!$D$1</c:f>
              <c:strCache>
                <c:ptCount val="1"/>
                <c:pt idx="0">
                  <c:v>Արդյունաբերություն</c:v>
                </c:pt>
              </c:strCache>
            </c:strRef>
          </c:tx>
          <c:spPr>
            <a:solidFill>
              <a:srgbClr val="4F81BD">
                <a:lumMod val="75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0.48378819255706423</c:v>
                </c:pt>
                <c:pt idx="1">
                  <c:v>1.3654759971675174</c:v>
                </c:pt>
                <c:pt idx="2">
                  <c:v>-0.55201739836431429</c:v>
                </c:pt>
                <c:pt idx="3">
                  <c:v>0.58496152770545284</c:v>
                </c:pt>
                <c:pt idx="4">
                  <c:v>0.6448425721675084</c:v>
                </c:pt>
              </c:numCache>
            </c:numRef>
          </c:val>
          <c:extLst>
            <c:ext xmlns:c16="http://schemas.microsoft.com/office/drawing/2014/chart" uri="{C3380CC4-5D6E-409C-BE32-E72D297353CC}">
              <c16:uniqueId val="{00000001-AF50-42E7-BC4F-C137E6F78919}"/>
            </c:ext>
          </c:extLst>
        </c:ser>
        <c:ser>
          <c:idx val="3"/>
          <c:order val="3"/>
          <c:tx>
            <c:strRef>
              <c:f>Sheet1!$E$1</c:f>
              <c:strCache>
                <c:ptCount val="1"/>
                <c:pt idx="0">
                  <c:v>Գյուղատնտեսություն</c:v>
                </c:pt>
              </c:strCache>
            </c:strRef>
          </c:tx>
          <c:spPr>
            <a:solidFill>
              <a:srgbClr val="1F497D">
                <a:lumMod val="60000"/>
                <a:lumOff val="40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-9.0982724281260294E-2</c:v>
                </c:pt>
                <c:pt idx="1">
                  <c:v>-0.3182326931786022</c:v>
                </c:pt>
                <c:pt idx="2">
                  <c:v>-4.0401744306416285E-2</c:v>
                </c:pt>
                <c:pt idx="3">
                  <c:v>0.12231352387464571</c:v>
                </c:pt>
                <c:pt idx="4">
                  <c:v>0.41445460785804894</c:v>
                </c:pt>
              </c:numCache>
            </c:numRef>
          </c:val>
          <c:extLst>
            <c:ext xmlns:c16="http://schemas.microsoft.com/office/drawing/2014/chart" uri="{C3380CC4-5D6E-409C-BE32-E72D297353CC}">
              <c16:uniqueId val="{00000002-AF50-42E7-BC4F-C137E6F78919}"/>
            </c:ext>
          </c:extLst>
        </c:ser>
        <c:ser>
          <c:idx val="4"/>
          <c:order val="4"/>
          <c:tx>
            <c:strRef>
              <c:f>Sheet1!$F$1</c:f>
              <c:strCache>
                <c:ptCount val="1"/>
                <c:pt idx="0">
                  <c:v>Շինարարություն</c:v>
                </c:pt>
              </c:strCache>
            </c:strRef>
          </c:tx>
          <c:spPr>
            <a:solidFill>
              <a:sysClr val="window" lastClr="FFFFFF">
                <a:lumMod val="75000"/>
              </a:sys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0.214593268018652</c:v>
                </c:pt>
                <c:pt idx="1">
                  <c:v>1.2132943543742427</c:v>
                </c:pt>
                <c:pt idx="2">
                  <c:v>1.0557886847485967</c:v>
                </c:pt>
                <c:pt idx="3">
                  <c:v>0.97920933089388107</c:v>
                </c:pt>
                <c:pt idx="4">
                  <c:v>1.4863921004525746</c:v>
                </c:pt>
              </c:numCache>
            </c:numRef>
          </c:val>
          <c:extLst>
            <c:ext xmlns:c16="http://schemas.microsoft.com/office/drawing/2014/chart" uri="{C3380CC4-5D6E-409C-BE32-E72D297353CC}">
              <c16:uniqueId val="{00000003-AF50-42E7-BC4F-C137E6F78919}"/>
            </c:ext>
          </c:extLst>
        </c:ser>
        <c:ser>
          <c:idx val="5"/>
          <c:order val="5"/>
          <c:tx>
            <c:strRef>
              <c:f>Sheet1!$G$1</c:f>
              <c:strCache>
                <c:ptCount val="1"/>
                <c:pt idx="0">
                  <c:v>Ծառայություններ</c:v>
                </c:pt>
              </c:strCache>
            </c:strRef>
          </c:tx>
          <c:spPr>
            <a:solidFill>
              <a:srgbClr val="F79646">
                <a:lumMod val="60000"/>
                <a:lumOff val="40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Sheet1!$G$2:$G$9</c:f>
              <c:numCache>
                <c:formatCode>0.0</c:formatCode>
                <c:ptCount val="5"/>
                <c:pt idx="0">
                  <c:v>4.3842152071511773</c:v>
                </c:pt>
                <c:pt idx="1">
                  <c:v>9.4488418594436503</c:v>
                </c:pt>
                <c:pt idx="2">
                  <c:v>6.6994687369765282</c:v>
                </c:pt>
                <c:pt idx="3">
                  <c:v>4.3862458077859587</c:v>
                </c:pt>
                <c:pt idx="4">
                  <c:v>3.6184348112610043</c:v>
                </c:pt>
              </c:numCache>
            </c:numRef>
          </c:val>
          <c:extLst>
            <c:ext xmlns:c16="http://schemas.microsoft.com/office/drawing/2014/chart" uri="{C3380CC4-5D6E-409C-BE32-E72D297353CC}">
              <c16:uniqueId val="{00000004-AF50-42E7-BC4F-C137E6F78919}"/>
            </c:ext>
          </c:extLst>
        </c:ser>
        <c:dLbls>
          <c:showLegendKey val="0"/>
          <c:showVal val="0"/>
          <c:showCatName val="0"/>
          <c:showSerName val="0"/>
          <c:showPercent val="0"/>
          <c:showBubbleSize val="0"/>
        </c:dLbls>
        <c:gapWidth val="219"/>
        <c:overlap val="100"/>
        <c:axId val="427216896"/>
        <c:axId val="334772992"/>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none"/>
          </c:marker>
          <c:dLbls>
            <c:dLbl>
              <c:idx val="0"/>
              <c:layout>
                <c:manualLayout>
                  <c:x val="-6.5000000000000002E-2"/>
                  <c:y val="-5.36853654963891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50-42E7-BC4F-C137E6F78919}"/>
                </c:ext>
              </c:extLst>
            </c:dLbl>
            <c:dLbl>
              <c:idx val="1"/>
              <c:layout>
                <c:manualLayout>
                  <c:x val="-6.1504065040650445E-2"/>
                  <c:y val="-5.3685365496389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F50-42E7-BC4F-C137E6F78919}"/>
                </c:ext>
              </c:extLst>
            </c:dLbl>
            <c:dLbl>
              <c:idx val="2"/>
              <c:layout>
                <c:manualLayout>
                  <c:x val="-5.6900646565520775E-2"/>
                  <c:y val="-6.772537953640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F50-42E7-BC4F-C137E6F78919}"/>
                </c:ext>
              </c:extLst>
            </c:dLbl>
            <c:dLbl>
              <c:idx val="3"/>
              <c:layout>
                <c:manualLayout>
                  <c:x val="-5.2073170731707315E-2"/>
                  <c:y val="-6.07053725163961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F50-42E7-BC4F-C137E6F78919}"/>
                </c:ext>
              </c:extLst>
            </c:dLbl>
            <c:dLbl>
              <c:idx val="4"/>
              <c:layout>
                <c:manualLayout>
                  <c:x val="-5.8495934959349592E-2"/>
                  <c:y val="-5.3685365496389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F50-42E7-BC4F-C137E6F78919}"/>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5.799999999999998</c:v>
                </c:pt>
                <c:pt idx="1">
                  <c:v>12.599999999999996</c:v>
                </c:pt>
                <c:pt idx="2">
                  <c:v>8.2999999999999972</c:v>
                </c:pt>
                <c:pt idx="3">
                  <c:v>5.9000000000000057</c:v>
                </c:pt>
                <c:pt idx="4">
                  <c:v>7.200000000000002</c:v>
                </c:pt>
              </c:numCache>
            </c:numRef>
          </c:val>
          <c:smooth val="0"/>
          <c:extLst>
            <c:ext xmlns:c16="http://schemas.microsoft.com/office/drawing/2014/chart" uri="{C3380CC4-5D6E-409C-BE32-E72D297353CC}">
              <c16:uniqueId val="{0000000A-AF50-42E7-BC4F-C137E6F78919}"/>
            </c:ext>
          </c:extLst>
        </c:ser>
        <c:dLbls>
          <c:showLegendKey val="0"/>
          <c:showVal val="0"/>
          <c:showCatName val="0"/>
          <c:showSerName val="0"/>
          <c:showPercent val="0"/>
          <c:showBubbleSize val="0"/>
        </c:dLbls>
        <c:marker val="1"/>
        <c:smooth val="0"/>
        <c:axId val="427216896"/>
        <c:axId val="334772992"/>
      </c:lineChart>
      <c:catAx>
        <c:axId val="4272168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2992"/>
        <c:crosses val="autoZero"/>
        <c:auto val="1"/>
        <c:lblAlgn val="ctr"/>
        <c:lblOffset val="10"/>
        <c:noMultiLvlLbl val="0"/>
      </c:catAx>
      <c:valAx>
        <c:axId val="334772992"/>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27216896"/>
        <c:crosses val="autoZero"/>
        <c:crossBetween val="between"/>
        <c:majorUnit val="4"/>
      </c:valAx>
      <c:spPr>
        <a:solidFill>
          <a:schemeClr val="bg1"/>
        </a:solidFill>
        <a:ln>
          <a:noFill/>
        </a:ln>
        <a:effectLst/>
      </c:spPr>
    </c:plotArea>
    <c:legend>
      <c:legendPos val="b"/>
      <c:layout>
        <c:manualLayout>
          <c:xMode val="edge"/>
          <c:yMode val="edge"/>
          <c:x val="4.3963254593175856E-2"/>
          <c:y val="0.83203834765173745"/>
          <c:w val="0.95603674540682415"/>
          <c:h val="0.16796165234826255"/>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6542045650701753"/>
        </c:manualLayout>
      </c:layout>
      <c:barChart>
        <c:barDir val="col"/>
        <c:grouping val="stacked"/>
        <c:varyColors val="0"/>
        <c:ser>
          <c:idx val="1"/>
          <c:order val="0"/>
          <c:tx>
            <c:strRef>
              <c:f>Sheet1!$C$1</c:f>
              <c:strCache>
                <c:ptCount val="1"/>
                <c:pt idx="0">
                  <c:v>Արդյունաբերություն</c:v>
                </c:pt>
              </c:strCache>
            </c:strRef>
          </c:tx>
          <c:spPr>
            <a:solidFill>
              <a:srgbClr val="4F81BD">
                <a:lumMod val="75000"/>
              </a:srgbClr>
            </a:solidFill>
            <a:ln>
              <a:noFill/>
            </a:ln>
            <a:effectLst/>
          </c:spPr>
          <c:invertIfNegative val="0"/>
          <c:dLbls>
            <c:spPr>
              <a:solidFill>
                <a:srgbClr val="4F81BD">
                  <a:lumMod val="20000"/>
                  <a:lumOff val="80000"/>
                </a:srgbClr>
              </a:solid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19.85382458807544</c:v>
                </c:pt>
                <c:pt idx="1">
                  <c:v>18.638218325454016</c:v>
                </c:pt>
                <c:pt idx="2">
                  <c:v>15.979633551882033</c:v>
                </c:pt>
                <c:pt idx="3">
                  <c:v>15.791691524625712</c:v>
                </c:pt>
                <c:pt idx="4">
                  <c:v>16.477965685151183</c:v>
                </c:pt>
              </c:numCache>
            </c:numRef>
          </c:val>
          <c:extLst>
            <c:ext xmlns:c16="http://schemas.microsoft.com/office/drawing/2014/chart" uri="{C3380CC4-5D6E-409C-BE32-E72D297353CC}">
              <c16:uniqueId val="{00000000-F414-49A7-B2DB-72A5552F22AE}"/>
            </c:ext>
          </c:extLst>
        </c:ser>
        <c:ser>
          <c:idx val="2"/>
          <c:order val="1"/>
          <c:tx>
            <c:strRef>
              <c:f>Sheet1!$D$1</c:f>
              <c:strCache>
                <c:ptCount val="1"/>
                <c:pt idx="0">
                  <c:v>Գյուղատնտեսություն</c:v>
                </c:pt>
              </c:strCache>
            </c:strRef>
          </c:tx>
          <c:spPr>
            <a:solidFill>
              <a:srgbClr val="1F497D">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11.3435484176857</c:v>
                </c:pt>
                <c:pt idx="1">
                  <c:v>10.146703925568271</c:v>
                </c:pt>
                <c:pt idx="2">
                  <c:v>8.1022379918879874</c:v>
                </c:pt>
                <c:pt idx="3">
                  <c:v>7.8058862175467354</c:v>
                </c:pt>
                <c:pt idx="4">
                  <c:v>7.9346817732068518</c:v>
                </c:pt>
              </c:numCache>
            </c:numRef>
          </c:val>
          <c:extLst>
            <c:ext xmlns:c16="http://schemas.microsoft.com/office/drawing/2014/chart" uri="{C3380CC4-5D6E-409C-BE32-E72D297353CC}">
              <c16:uniqueId val="{00000001-F414-49A7-B2DB-72A5552F22AE}"/>
            </c:ext>
          </c:extLst>
        </c:ser>
        <c:ser>
          <c:idx val="3"/>
          <c:order val="2"/>
          <c:tx>
            <c:strRef>
              <c:f>Sheet1!$E$1</c:f>
              <c:strCache>
                <c:ptCount val="1"/>
                <c:pt idx="0">
                  <c:v>Շինարարություն</c:v>
                </c:pt>
              </c:strCache>
            </c:strRef>
          </c:tx>
          <c:spPr>
            <a:solidFill>
              <a:sysClr val="window" lastClr="FFFFFF">
                <a:lumMod val="65000"/>
              </a:sysClr>
            </a:solidFill>
            <a:ln>
              <a:noFill/>
            </a:ln>
            <a:effectLst/>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6.5105158233146376</c:v>
                </c:pt>
                <c:pt idx="1">
                  <c:v>6.7988783183253441</c:v>
                </c:pt>
                <c:pt idx="2">
                  <c:v>6.900462609785059</c:v>
                </c:pt>
                <c:pt idx="3">
                  <c:v>7.0653748405600636</c:v>
                </c:pt>
                <c:pt idx="4">
                  <c:v>6.5889872035176769</c:v>
                </c:pt>
              </c:numCache>
            </c:numRef>
          </c:val>
          <c:extLst>
            <c:ext xmlns:c16="http://schemas.microsoft.com/office/drawing/2014/chart" uri="{C3380CC4-5D6E-409C-BE32-E72D297353CC}">
              <c16:uniqueId val="{00000002-F414-49A7-B2DB-72A5552F22AE}"/>
            </c:ext>
          </c:extLst>
        </c:ser>
        <c:ser>
          <c:idx val="4"/>
          <c:order val="3"/>
          <c:tx>
            <c:strRef>
              <c:f>Sheet1!$F$1</c:f>
              <c:strCache>
                <c:ptCount val="1"/>
                <c:pt idx="0">
                  <c:v>Ծառայություններ</c:v>
                </c:pt>
              </c:strCache>
            </c:strRef>
          </c:tx>
          <c:spPr>
            <a:solidFill>
              <a:srgbClr val="F79646">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51.317988108832644</c:v>
                </c:pt>
                <c:pt idx="1">
                  <c:v>54.031010288669137</c:v>
                </c:pt>
                <c:pt idx="2">
                  <c:v>58.290869258948611</c:v>
                </c:pt>
                <c:pt idx="3">
                  <c:v>59.394549538269104</c:v>
                </c:pt>
                <c:pt idx="4">
                  <c:v>58.35275567316328</c:v>
                </c:pt>
              </c:numCache>
            </c:numRef>
          </c:val>
          <c:extLst>
            <c:ext xmlns:c16="http://schemas.microsoft.com/office/drawing/2014/chart" uri="{C3380CC4-5D6E-409C-BE32-E72D297353CC}">
              <c16:uniqueId val="{00000003-F414-49A7-B2DB-72A5552F22AE}"/>
            </c:ext>
          </c:extLst>
        </c:ser>
        <c:ser>
          <c:idx val="0"/>
          <c:order val="4"/>
          <c:tx>
            <c:strRef>
              <c:f>Sheet1!$B$1</c:f>
              <c:strCache>
                <c:ptCount val="1"/>
                <c:pt idx="0">
                  <c:v>Զուտ անուղղակի հարկ</c:v>
                </c:pt>
              </c:strCache>
            </c:strRef>
          </c:tx>
          <c:spPr>
            <a:solidFill>
              <a:srgbClr val="4F81BD">
                <a:lumMod val="60000"/>
                <a:lumOff val="40000"/>
              </a:srgbClr>
            </a:solidFill>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10.974123062091593</c:v>
                </c:pt>
                <c:pt idx="1">
                  <c:v>10.38518914198325</c:v>
                </c:pt>
                <c:pt idx="2">
                  <c:v>10.726796587496318</c:v>
                </c:pt>
                <c:pt idx="3">
                  <c:v>9.9424978789984166</c:v>
                </c:pt>
                <c:pt idx="4">
                  <c:v>10.645609664960979</c:v>
                </c:pt>
              </c:numCache>
            </c:numRef>
          </c:val>
          <c:extLst>
            <c:ext xmlns:c16="http://schemas.microsoft.com/office/drawing/2014/chart" uri="{C3380CC4-5D6E-409C-BE32-E72D297353CC}">
              <c16:uniqueId val="{00000004-F414-49A7-B2DB-72A5552F22AE}"/>
            </c:ext>
          </c:extLst>
        </c:ser>
        <c:dLbls>
          <c:dLblPos val="ctr"/>
          <c:showLegendKey val="0"/>
          <c:showVal val="1"/>
          <c:showCatName val="0"/>
          <c:showSerName val="0"/>
          <c:showPercent val="0"/>
          <c:showBubbleSize val="0"/>
        </c:dLbls>
        <c:gapWidth val="100"/>
        <c:overlap val="100"/>
        <c:axId val="346070016"/>
        <c:axId val="334771840"/>
      </c:barChart>
      <c:catAx>
        <c:axId val="34607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1840"/>
        <c:crosses val="autoZero"/>
        <c:auto val="1"/>
        <c:lblAlgn val="ctr"/>
        <c:lblOffset val="10"/>
        <c:noMultiLvlLbl val="0"/>
      </c:catAx>
      <c:valAx>
        <c:axId val="334771840"/>
        <c:scaling>
          <c:orientation val="minMax"/>
          <c:max val="11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6070016"/>
        <c:crosses val="autoZero"/>
        <c:crossBetween val="between"/>
        <c:majorUnit val="20"/>
      </c:valAx>
      <c:spPr>
        <a:solidFill>
          <a:schemeClr val="bg1"/>
        </a:solidFill>
        <a:ln>
          <a:noFill/>
        </a:ln>
        <a:effectLst/>
      </c:spPr>
    </c:plotArea>
    <c:legend>
      <c:legendPos val="b"/>
      <c:layout>
        <c:manualLayout>
          <c:xMode val="edge"/>
          <c:yMode val="edge"/>
          <c:x val="7.241853914602138E-2"/>
          <c:y val="0.81854762252526192"/>
          <c:w val="0.87328692145189168"/>
          <c:h val="0.16491614770750621"/>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467724052393214E-2"/>
          <c:w val="0.87658476118247253"/>
          <c:h val="0.64441288514353379"/>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Sheet1!$B$3:$M$3</c:f>
              <c:numCache>
                <c:formatCode>0.0</c:formatCode>
                <c:ptCount val="12"/>
                <c:pt idx="0">
                  <c:v>-10.400000000000006</c:v>
                </c:pt>
                <c:pt idx="1">
                  <c:v>-19.437107167110568</c:v>
                </c:pt>
                <c:pt idx="2">
                  <c:v>-18.5</c:v>
                </c:pt>
                <c:pt idx="3">
                  <c:v>-16.099999999999994</c:v>
                </c:pt>
                <c:pt idx="4">
                  <c:v>-14.099999999999994</c:v>
                </c:pt>
                <c:pt idx="5">
                  <c:v>-12.099999999999994</c:v>
                </c:pt>
                <c:pt idx="6">
                  <c:v>-9.7999999999999972</c:v>
                </c:pt>
                <c:pt idx="7">
                  <c:v>-7.7999999999999972</c:v>
                </c:pt>
                <c:pt idx="8">
                  <c:v>-5.7000000000000028</c:v>
                </c:pt>
                <c:pt idx="9">
                  <c:v>-3</c:v>
                </c:pt>
                <c:pt idx="10">
                  <c:v>0.5</c:v>
                </c:pt>
                <c:pt idx="11">
                  <c:v>4.7000000000000028</c:v>
                </c:pt>
              </c:numCache>
            </c:numRef>
          </c:val>
          <c:extLst>
            <c:ext xmlns:c16="http://schemas.microsoft.com/office/drawing/2014/chart" uri="{C3380CC4-5D6E-409C-BE32-E72D297353CC}">
              <c16:uniqueId val="{00000000-F526-419A-AECE-770D43545AA4}"/>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10.5</c:v>
                </c:pt>
                <c:pt idx="5" formatCode="0.0">
                  <c:v>7.2999999999999972</c:v>
                </c:pt>
                <c:pt idx="8" formatCode="0.0">
                  <c:v>6</c:v>
                </c:pt>
                <c:pt idx="11" formatCode="0.0">
                  <c:v>5.5999999999999943</c:v>
                </c:pt>
              </c:numCache>
            </c:numRef>
          </c:val>
          <c:extLst>
            <c:ext xmlns:c16="http://schemas.microsoft.com/office/drawing/2014/chart" uri="{C3380CC4-5D6E-409C-BE32-E72D297353CC}">
              <c16:uniqueId val="{00000001-F526-419A-AECE-770D43545AA4}"/>
            </c:ext>
          </c:extLst>
        </c:ser>
        <c:ser>
          <c:idx val="3"/>
          <c:order val="3"/>
          <c:tx>
            <c:strRef>
              <c:f>Sheet1!$A$5</c:f>
              <c:strCache>
                <c:ptCount val="1"/>
                <c:pt idx="0">
                  <c:v>Շինարարություն</c:v>
                </c:pt>
              </c:strCache>
            </c:strRef>
          </c:tx>
          <c:spPr>
            <a:solidFill>
              <a:schemeClr val="accent4"/>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Sheet1!$B$5:$M$5</c:f>
              <c:numCache>
                <c:formatCode>0.0</c:formatCode>
                <c:ptCount val="12"/>
                <c:pt idx="0">
                  <c:v>11.599999999999994</c:v>
                </c:pt>
                <c:pt idx="1">
                  <c:v>12.200000000000003</c:v>
                </c:pt>
                <c:pt idx="2">
                  <c:v>13.599999999999994</c:v>
                </c:pt>
                <c:pt idx="3">
                  <c:v>15</c:v>
                </c:pt>
                <c:pt idx="4">
                  <c:v>17.099999999999994</c:v>
                </c:pt>
                <c:pt idx="5">
                  <c:v>18.5</c:v>
                </c:pt>
                <c:pt idx="6">
                  <c:v>20.200000000000003</c:v>
                </c:pt>
                <c:pt idx="7">
                  <c:v>20.400000000000006</c:v>
                </c:pt>
                <c:pt idx="8">
                  <c:v>20.700000000000003</c:v>
                </c:pt>
                <c:pt idx="9">
                  <c:v>20.599999999999994</c:v>
                </c:pt>
                <c:pt idx="10">
                  <c:v>20.099999999999994</c:v>
                </c:pt>
                <c:pt idx="11">
                  <c:v>20.200000000000003</c:v>
                </c:pt>
              </c:numCache>
            </c:numRef>
          </c:val>
          <c:extLst>
            <c:ext xmlns:c16="http://schemas.microsoft.com/office/drawing/2014/chart" uri="{C3380CC4-5D6E-409C-BE32-E72D297353CC}">
              <c16:uniqueId val="{00000002-F526-419A-AECE-770D43545AA4}"/>
            </c:ext>
          </c:extLst>
        </c:ser>
        <c:ser>
          <c:idx val="4"/>
          <c:order val="4"/>
          <c:tx>
            <c:strRef>
              <c:f>Sheet1!$A$6</c:f>
              <c:strCache>
                <c:ptCount val="1"/>
                <c:pt idx="0">
                  <c:v>Ծառայություններ</c:v>
                </c:pt>
              </c:strCache>
            </c:strRef>
          </c:tx>
          <c:spPr>
            <a:solidFill>
              <a:srgbClr val="4198AF"/>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Sheet1!$B$6:$M$6</c:f>
              <c:numCache>
                <c:formatCode>0.0</c:formatCode>
                <c:ptCount val="12"/>
                <c:pt idx="0">
                  <c:v>12.200000000000017</c:v>
                </c:pt>
                <c:pt idx="1">
                  <c:v>11.901139102883732</c:v>
                </c:pt>
                <c:pt idx="2">
                  <c:v>11.213220890217698</c:v>
                </c:pt>
                <c:pt idx="3">
                  <c:v>10.278308940850309</c:v>
                </c:pt>
                <c:pt idx="4">
                  <c:v>10.850000268173616</c:v>
                </c:pt>
                <c:pt idx="5">
                  <c:v>10.715602724698741</c:v>
                </c:pt>
                <c:pt idx="6">
                  <c:v>11.046846123017005</c:v>
                </c:pt>
                <c:pt idx="7">
                  <c:v>10.684732944745207</c:v>
                </c:pt>
                <c:pt idx="8">
                  <c:v>10.589197717247629</c:v>
                </c:pt>
                <c:pt idx="9">
                  <c:v>10.799999999999997</c:v>
                </c:pt>
                <c:pt idx="10">
                  <c:v>10.900000000000006</c:v>
                </c:pt>
                <c:pt idx="11">
                  <c:v>10.599999999999994</c:v>
                </c:pt>
              </c:numCache>
            </c:numRef>
          </c:val>
          <c:extLst>
            <c:ext xmlns:c16="http://schemas.microsoft.com/office/drawing/2014/chart" uri="{C3380CC4-5D6E-409C-BE32-E72D297353CC}">
              <c16:uniqueId val="{00000003-F526-419A-AECE-770D43545AA4}"/>
            </c:ext>
          </c:extLst>
        </c:ser>
        <c:ser>
          <c:idx val="5"/>
          <c:order val="5"/>
          <c:tx>
            <c:strRef>
              <c:f>Sheet1!$A$7</c:f>
              <c:strCache>
                <c:ptCount val="1"/>
                <c:pt idx="0">
                  <c:v>Առևտուր</c:v>
                </c:pt>
              </c:strCache>
            </c:strRef>
          </c:tx>
          <c:spPr>
            <a:solidFill>
              <a:srgbClr val="FAC090"/>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Sheet1!$B$7:$M$7</c:f>
              <c:numCache>
                <c:formatCode>0.0</c:formatCode>
                <c:ptCount val="12"/>
                <c:pt idx="0">
                  <c:v>14.599999999999994</c:v>
                </c:pt>
                <c:pt idx="1">
                  <c:v>8.4952919901649437</c:v>
                </c:pt>
                <c:pt idx="2">
                  <c:v>6.4825867740854903</c:v>
                </c:pt>
                <c:pt idx="3">
                  <c:v>5.7977262674481693</c:v>
                </c:pt>
                <c:pt idx="4">
                  <c:v>4.7679116625219251</c:v>
                </c:pt>
                <c:pt idx="5">
                  <c:v>4.493414957915661</c:v>
                </c:pt>
                <c:pt idx="6">
                  <c:v>4.2456099978468416</c:v>
                </c:pt>
                <c:pt idx="7">
                  <c:v>3.9000000000000057</c:v>
                </c:pt>
                <c:pt idx="8">
                  <c:v>3.5</c:v>
                </c:pt>
                <c:pt idx="9">
                  <c:v>3.2000000000000028</c:v>
                </c:pt>
                <c:pt idx="10">
                  <c:v>3</c:v>
                </c:pt>
                <c:pt idx="11">
                  <c:v>3</c:v>
                </c:pt>
              </c:numCache>
            </c:numRef>
          </c:val>
          <c:extLst>
            <c:ext xmlns:c16="http://schemas.microsoft.com/office/drawing/2014/chart" uri="{C3380CC4-5D6E-409C-BE32-E72D297353CC}">
              <c16:uniqueId val="{00000004-F526-419A-AECE-770D43545AA4}"/>
            </c:ext>
          </c:extLst>
        </c:ser>
        <c:dLbls>
          <c:showLegendKey val="0"/>
          <c:showVal val="0"/>
          <c:showCatName val="0"/>
          <c:showSerName val="0"/>
          <c:showPercent val="0"/>
          <c:showBubbleSize val="0"/>
        </c:dLbls>
        <c:gapWidth val="80"/>
        <c:overlap val="16"/>
        <c:axId val="424298496"/>
        <c:axId val="339945728"/>
      </c:barChart>
      <c:lineChart>
        <c:grouping val="standard"/>
        <c:varyColors val="0"/>
        <c:ser>
          <c:idx val="0"/>
          <c:order val="0"/>
          <c:tx>
            <c:strRef>
              <c:f>Sheet1!$A$2</c:f>
              <c:strCache>
                <c:ptCount val="1"/>
                <c:pt idx="0">
                  <c:v>ՏԱՑ, աջ առանցք</c:v>
                </c:pt>
              </c:strCache>
            </c:strRef>
          </c:tx>
          <c:spPr>
            <a:ln>
              <a:solidFill>
                <a:srgbClr val="4F81BD"/>
              </a:solidFill>
            </a:ln>
            <a:effectLst/>
          </c:spPr>
          <c:marker>
            <c:spPr>
              <a:solidFill>
                <a:srgbClr val="1F497D"/>
              </a:solidFill>
              <a:ln>
                <a:noFill/>
              </a:ln>
            </c:spPr>
          </c:marker>
          <c:dLbls>
            <c:dLbl>
              <c:idx val="0"/>
              <c:layout>
                <c:manualLayout>
                  <c:x val="-6.2329996361074336E-2"/>
                  <c:y val="-3.9597273660950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526-419A-AECE-770D43545AA4}"/>
                </c:ext>
              </c:extLst>
            </c:dLbl>
            <c:dLbl>
              <c:idx val="1"/>
              <c:layout>
                <c:manualLayout>
                  <c:x val="-5.359975983109861E-2"/>
                  <c:y val="-5.208375970787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526-419A-AECE-770D43545AA4}"/>
                </c:ext>
              </c:extLst>
            </c:dLbl>
            <c:dLbl>
              <c:idx val="2"/>
              <c:layout>
                <c:manualLayout>
                  <c:x val="-6.1423310679320976E-2"/>
                  <c:y val="-4.9145885403942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526-419A-AECE-770D43545AA4}"/>
                </c:ext>
              </c:extLst>
            </c:dLbl>
            <c:dLbl>
              <c:idx val="3"/>
              <c:layout>
                <c:manualLayout>
                  <c:x val="-6.201011945750131E-2"/>
                  <c:y val="-4.991529996697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526-419A-AECE-770D43545AA4}"/>
                </c:ext>
              </c:extLst>
            </c:dLbl>
            <c:dLbl>
              <c:idx val="4"/>
              <c:layout>
                <c:manualLayout>
                  <c:x val="-6.1848729085855488E-2"/>
                  <c:y val="-4.4268774703557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526-419A-AECE-770D43545AA4}"/>
                </c:ext>
              </c:extLst>
            </c:dLbl>
            <c:dLbl>
              <c:idx val="5"/>
              <c:layout>
                <c:manualLayout>
                  <c:x val="-5.8230243343475874E-2"/>
                  <c:y val="-4.57257566124392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526-419A-AECE-770D43545AA4}"/>
                </c:ext>
              </c:extLst>
            </c:dLbl>
            <c:dLbl>
              <c:idx val="6"/>
              <c:layout>
                <c:manualLayout>
                  <c:x val="-5.8230243343475874E-2"/>
                  <c:y val="-4.0050329677169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526-419A-AECE-770D43545AA4}"/>
                </c:ext>
              </c:extLst>
            </c:dLbl>
            <c:dLbl>
              <c:idx val="7"/>
              <c:layout>
                <c:manualLayout>
                  <c:x val="-5.8019063406547867E-2"/>
                  <c:y val="-3.9439016771330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526-419A-AECE-770D43545AA4}"/>
                </c:ext>
              </c:extLst>
            </c:dLbl>
            <c:dLbl>
              <c:idx val="8"/>
              <c:layout>
                <c:manualLayout>
                  <c:x val="-5.8230243343475943E-2"/>
                  <c:y val="-4.56968570628276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526-419A-AECE-770D43545AA4}"/>
                </c:ext>
              </c:extLst>
            </c:dLbl>
            <c:dLbl>
              <c:idx val="9"/>
              <c:layout>
                <c:manualLayout>
                  <c:x val="-6.2374282860660261E-2"/>
                  <c:y val="-3.38515985897019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526-419A-AECE-770D43545AA4}"/>
                </c:ext>
              </c:extLst>
            </c:dLbl>
            <c:dLbl>
              <c:idx val="10"/>
              <c:layout>
                <c:manualLayout>
                  <c:x val="-6.6096516696475038E-2"/>
                  <c:y val="-4.103958349079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526-419A-AECE-770D43545AA4}"/>
                </c:ext>
              </c:extLst>
            </c:dLbl>
            <c:dLbl>
              <c:idx val="11"/>
              <c:layout>
                <c:manualLayout>
                  <c:x val="-5.3874844591794445E-2"/>
                  <c:y val="-4.1039671682626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526-419A-AECE-770D43545AA4}"/>
                </c:ext>
              </c:extLst>
            </c:dLbl>
            <c:spPr>
              <a:noFill/>
              <a:ln>
                <a:noFill/>
              </a:ln>
              <a:effectLst/>
            </c:spPr>
            <c:txPr>
              <a:bodyPr/>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Sheet1!$B$2:$M$2</c:f>
              <c:numCache>
                <c:formatCode>0.0</c:formatCode>
                <c:ptCount val="12"/>
                <c:pt idx="0">
                  <c:v>7.3426232722364091</c:v>
                </c:pt>
                <c:pt idx="1">
                  <c:v>4.1302141596218434</c:v>
                </c:pt>
                <c:pt idx="2">
                  <c:v>3.9176824615992274</c:v>
                </c:pt>
                <c:pt idx="3">
                  <c:v>4.5619761692602339</c:v>
                </c:pt>
                <c:pt idx="4">
                  <c:v>5.9762339427040558</c:v>
                </c:pt>
                <c:pt idx="5">
                  <c:v>6.6377500008797767</c:v>
                </c:pt>
                <c:pt idx="6">
                  <c:v>7.1056132153287876</c:v>
                </c:pt>
                <c:pt idx="7">
                  <c:v>7.2482749175549372</c:v>
                </c:pt>
                <c:pt idx="8">
                  <c:v>7.7826263319632005</c:v>
                </c:pt>
                <c:pt idx="9">
                  <c:v>8.1453293065231662</c:v>
                </c:pt>
                <c:pt idx="10">
                  <c:v>8.503716073796781</c:v>
                </c:pt>
                <c:pt idx="11">
                  <c:v>9.1747522890894118</c:v>
                </c:pt>
              </c:numCache>
            </c:numRef>
          </c:val>
          <c:smooth val="0"/>
          <c:extLst>
            <c:ext xmlns:c16="http://schemas.microsoft.com/office/drawing/2014/chart" uri="{C3380CC4-5D6E-409C-BE32-E72D297353CC}">
              <c16:uniqueId val="{00000011-F526-419A-AECE-770D43545AA4}"/>
            </c:ext>
          </c:extLst>
        </c:ser>
        <c:dLbls>
          <c:showLegendKey val="0"/>
          <c:showVal val="0"/>
          <c:showCatName val="0"/>
          <c:showSerName val="0"/>
          <c:showPercent val="0"/>
          <c:showBubbleSize val="0"/>
        </c:dLbls>
        <c:marker val="1"/>
        <c:smooth val="0"/>
        <c:axId val="427217408"/>
        <c:axId val="339946304"/>
      </c:lineChart>
      <c:catAx>
        <c:axId val="4242984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solidFill>
                  <a:sysClr val="windowText" lastClr="000000"/>
                </a:solidFill>
              </a:defRPr>
            </a:pPr>
            <a:endParaRPr lang="en-US"/>
          </a:p>
        </c:txPr>
        <c:crossAx val="339945728"/>
        <c:crosses val="autoZero"/>
        <c:auto val="1"/>
        <c:lblAlgn val="ctr"/>
        <c:lblOffset val="100"/>
        <c:noMultiLvlLbl val="0"/>
      </c:catAx>
      <c:valAx>
        <c:axId val="339945728"/>
        <c:scaling>
          <c:orientation val="minMax"/>
          <c:max val="40"/>
          <c:min val="-2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solidFill>
                  <a:sysClr val="windowText" lastClr="000000"/>
                </a:solidFill>
              </a:defRPr>
            </a:pPr>
            <a:endParaRPr lang="en-US"/>
          </a:p>
        </c:txPr>
        <c:crossAx val="424298496"/>
        <c:crosses val="autoZero"/>
        <c:crossBetween val="between"/>
        <c:majorUnit val="10"/>
      </c:valAx>
      <c:valAx>
        <c:axId val="339946304"/>
        <c:scaling>
          <c:orientation val="minMax"/>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27217408"/>
        <c:crosses val="max"/>
        <c:crossBetween val="between"/>
        <c:majorUnit val="2.5"/>
      </c:valAx>
      <c:catAx>
        <c:axId val="427217408"/>
        <c:scaling>
          <c:orientation val="minMax"/>
        </c:scaling>
        <c:delete val="1"/>
        <c:axPos val="b"/>
        <c:numFmt formatCode="General" sourceLinked="1"/>
        <c:majorTickMark val="out"/>
        <c:minorTickMark val="none"/>
        <c:tickLblPos val="none"/>
        <c:crossAx val="339946304"/>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647382445930079"/>
          <c:h val="0.17935657564970559"/>
        </c:manualLayout>
      </c:layout>
      <c:overlay val="0"/>
      <c:spPr>
        <a:noFill/>
        <a:ln>
          <a:noFill/>
        </a:ln>
        <a:effectLst/>
      </c:spPr>
      <c:txPr>
        <a:bodyPr rot="0" vert="horz"/>
        <a:lstStyle/>
        <a:p>
          <a:pPr>
            <a:defRPr sz="800">
              <a:solidFill>
                <a:sysClr val="windowText" lastClr="000000"/>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0.0422</cdr:x>
      <cdr:y>0.22926</cdr:y>
    </cdr:from>
    <cdr:to>
      <cdr:x>0.09698</cdr:x>
      <cdr:y>0.5</cdr:y>
    </cdr:to>
    <cdr:sp macro="" textlink="">
      <cdr:nvSpPr>
        <cdr:cNvPr id="2" name="Rounded Rectangle 1"/>
        <cdr:cNvSpPr/>
      </cdr:nvSpPr>
      <cdr:spPr>
        <a:xfrm xmlns:a="http://schemas.openxmlformats.org/drawingml/2006/main">
          <a:off x="273544" y="666751"/>
          <a:ext cx="355106" cy="787400"/>
        </a:xfrm>
        <a:prstGeom xmlns:a="http://schemas.openxmlformats.org/drawingml/2006/main" prst="roundRect">
          <a:avLst/>
        </a:prstGeom>
        <a:noFill xmlns:a="http://schemas.openxmlformats.org/drawingml/2006/main"/>
        <a:ln xmlns:a="http://schemas.openxmlformats.org/drawingml/2006/main" w="9525" cap="flat" cmpd="sng" algn="ctr">
          <a:solidFill>
            <a:schemeClr val="dk1"/>
          </a:solidFill>
          <a:prstDash val="solid"/>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5BB0FA-923A-4BEF-A4C0-D08BD350FB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599</TotalTime>
  <Pages>21</Pages>
  <Words>5280</Words>
  <Characters>30101</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35311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Emma Ghaytanjyan</cp:lastModifiedBy>
  <cp:revision>77</cp:revision>
  <cp:lastPrinted>2023-04-10T12:07:00Z</cp:lastPrinted>
  <dcterms:created xsi:type="dcterms:W3CDTF">2026-04-08T13:30:00Z</dcterms:created>
  <dcterms:modified xsi:type="dcterms:W3CDTF">2026-04-16T12:57:00Z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f60faef533a742f60f8302e7ad3703680437d24b7a5222c50f5626b87ec935f2</vt:lpwstr>
  </property>
</Properties>
</file>